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A36FC" w:rsidRDefault="00841B19">
      <w:pPr>
        <w:widowControl w:val="0"/>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w:t>
      </w:r>
      <w:r>
        <w:rPr>
          <w:rFonts w:ascii="Arial" w:hAnsi="Arial" w:cs="Arial" w:hint="eastAsia"/>
          <w:b/>
          <w:bCs/>
          <w:sz w:val="22"/>
          <w:szCs w:val="22"/>
        </w:rPr>
        <w:t>5-</w:t>
      </w:r>
      <w:r>
        <w:rPr>
          <w:rFonts w:ascii="Arial" w:hAnsi="Arial" w:cs="Arial"/>
          <w:b/>
          <w:bCs/>
          <w:sz w:val="22"/>
          <w:szCs w:val="22"/>
        </w:rPr>
        <w:t>e</w:t>
      </w:r>
      <w:r>
        <w:rPr>
          <w:rFonts w:ascii="Arial" w:hAnsi="Arial" w:cs="Arial"/>
          <w:b/>
          <w:bCs/>
          <w:sz w:val="22"/>
          <w:szCs w:val="22"/>
        </w:rPr>
        <w:tab/>
      </w:r>
      <w:r>
        <w:rPr>
          <w:rFonts w:ascii="Arial" w:hAnsi="Arial" w:cs="Arial" w:hint="eastAsia"/>
          <w:b/>
          <w:bCs/>
          <w:sz w:val="22"/>
          <w:szCs w:val="22"/>
        </w:rPr>
        <w:t xml:space="preserve">                                              R1-2</w:t>
      </w:r>
      <w:r>
        <w:rPr>
          <w:rFonts w:ascii="Arial" w:hAnsi="Arial" w:cs="Arial" w:hint="eastAsia"/>
          <w:b/>
          <w:bCs/>
          <w:sz w:val="22"/>
          <w:szCs w:val="22"/>
        </w:rPr>
        <w:t>104788</w:t>
      </w:r>
    </w:p>
    <w:p w:rsidR="00EA36FC" w:rsidRDefault="00841B19">
      <w:pPr>
        <w:widowControl w:val="0"/>
        <w:tabs>
          <w:tab w:val="center" w:pos="4536"/>
          <w:tab w:val="right" w:pos="9639"/>
        </w:tabs>
        <w:spacing w:beforeLines="0" w:after="120" w:line="240" w:lineRule="auto"/>
        <w:ind w:right="2"/>
        <w:rPr>
          <w:rFonts w:ascii="Arial" w:hAnsi="Arial" w:cs="Arial"/>
          <w:b/>
          <w:bCs/>
          <w:sz w:val="22"/>
          <w:szCs w:val="22"/>
        </w:rPr>
      </w:pPr>
      <w:r>
        <w:rPr>
          <w:rFonts w:ascii="Arial" w:eastAsia="MS Mincho" w:hAnsi="Arial" w:cs="Arial"/>
          <w:b/>
          <w:bCs/>
          <w:sz w:val="22"/>
          <w:szCs w:val="22"/>
          <w:lang w:eastAsia="ja-JP"/>
        </w:rPr>
        <w:t xml:space="preserve">e-Meeting, </w:t>
      </w:r>
      <w:r>
        <w:rPr>
          <w:rFonts w:ascii="Arial" w:hAnsi="Arial" w:cs="Arial" w:hint="eastAsia"/>
          <w:b/>
          <w:bCs/>
          <w:sz w:val="22"/>
          <w:szCs w:val="22"/>
        </w:rPr>
        <w:t>May</w:t>
      </w:r>
      <w:r>
        <w:rPr>
          <w:rFonts w:ascii="Arial" w:eastAsia="MS Mincho" w:hAnsi="Arial" w:cs="Arial"/>
          <w:b/>
          <w:bCs/>
          <w:sz w:val="22"/>
          <w:szCs w:val="22"/>
          <w:lang w:eastAsia="ja-JP"/>
        </w:rPr>
        <w:t xml:space="preserve"> </w:t>
      </w:r>
      <w:r>
        <w:rPr>
          <w:rFonts w:ascii="Arial" w:hAnsi="Arial" w:cs="Arial" w:hint="eastAsia"/>
          <w:b/>
          <w:bCs/>
          <w:sz w:val="22"/>
          <w:szCs w:val="22"/>
        </w:rPr>
        <w:t>10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w:t>
      </w:r>
      <w:r>
        <w:rPr>
          <w:rFonts w:ascii="Arial" w:hAnsi="Arial" w:cs="Arial" w:hint="eastAsia"/>
          <w:b/>
          <w:bCs/>
          <w:sz w:val="22"/>
          <w:szCs w:val="22"/>
        </w:rPr>
        <w:t>27</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2021</w:t>
      </w:r>
    </w:p>
    <w:p w:rsidR="00EA36FC" w:rsidRDefault="00841B19">
      <w:pPr>
        <w:widowControl w:val="0"/>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Enhancements for simultaneous operation of child and parent links</w:t>
      </w:r>
    </w:p>
    <w:p w:rsidR="00EA36FC" w:rsidRDefault="00841B19">
      <w:pPr>
        <w:widowControl w:val="0"/>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EA36FC" w:rsidRDefault="00841B19">
      <w:pPr>
        <w:widowControl w:val="0"/>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8.10.2</w:t>
      </w:r>
    </w:p>
    <w:p w:rsidR="00EA36FC" w:rsidRDefault="00841B19">
      <w:pPr>
        <w:widowControl w:val="0"/>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EA36FC" w:rsidRDefault="00841B19">
      <w:pPr>
        <w:pStyle w:val="1"/>
        <w:keepNext w:val="0"/>
        <w:keepLines w:val="0"/>
        <w:widowControl w:val="0"/>
        <w:spacing w:before="120" w:after="120"/>
        <w:ind w:left="0"/>
        <w:rPr>
          <w:rFonts w:eastAsia="宋体"/>
        </w:rPr>
      </w:pPr>
      <w:r>
        <w:rPr>
          <w:rFonts w:eastAsia="宋体" w:hint="eastAsia"/>
        </w:rPr>
        <w:t>Introduction</w:t>
      </w:r>
    </w:p>
    <w:p w:rsidR="00EA36FC" w:rsidRDefault="00841B19">
      <w:pPr>
        <w:widowControl w:val="0"/>
        <w:spacing w:before="120" w:after="120"/>
        <w:rPr>
          <w:sz w:val="20"/>
        </w:rPr>
      </w:pPr>
      <w:r>
        <w:rPr>
          <w:rFonts w:hint="eastAsia"/>
          <w:sz w:val="20"/>
        </w:rPr>
        <w:t>I</w:t>
      </w:r>
      <w:r>
        <w:rPr>
          <w:sz w:val="20"/>
        </w:rPr>
        <w:t>n order to support simultaneous operation</w:t>
      </w:r>
      <w:r>
        <w:rPr>
          <w:rFonts w:hint="eastAsia"/>
          <w:sz w:val="20"/>
        </w:rPr>
        <w:t xml:space="preserve"> </w:t>
      </w:r>
      <w:r>
        <w:rPr>
          <w:sz w:val="20"/>
        </w:rPr>
        <w:t>by IAB-node’s child and parent links</w:t>
      </w:r>
      <w:r>
        <w:rPr>
          <w:rFonts w:hint="eastAsia"/>
          <w:sz w:val="20"/>
        </w:rPr>
        <w:t>, some enhancements</w:t>
      </w:r>
      <w:r>
        <w:rPr>
          <w:sz w:val="20"/>
        </w:rPr>
        <w:t xml:space="preserve"> such as</w:t>
      </w:r>
      <w:r>
        <w:rPr>
          <w:rFonts w:hint="eastAsia"/>
          <w:sz w:val="20"/>
        </w:rPr>
        <w:t xml:space="preserve"> </w:t>
      </w:r>
      <w:r>
        <w:rPr>
          <w:sz w:val="20"/>
        </w:rPr>
        <w:t>IAB-node timing, DL/UL power control</w:t>
      </w:r>
      <w:r>
        <w:rPr>
          <w:rFonts w:hint="eastAsia"/>
          <w:sz w:val="20"/>
        </w:rPr>
        <w:t>/sharing</w:t>
      </w:r>
      <w:r>
        <w:rPr>
          <w:sz w:val="20"/>
        </w:rPr>
        <w:t>,</w:t>
      </w:r>
      <w:r>
        <w:rPr>
          <w:rFonts w:hint="eastAsia"/>
          <w:sz w:val="20"/>
        </w:rPr>
        <w:t xml:space="preserve"> </w:t>
      </w:r>
      <w:r>
        <w:rPr>
          <w:sz w:val="20"/>
        </w:rPr>
        <w:t>and CLI and interference measurements</w:t>
      </w:r>
      <w:r>
        <w:rPr>
          <w:rFonts w:hint="eastAsia"/>
          <w:sz w:val="20"/>
        </w:rPr>
        <w:t xml:space="preserve"> were discussed. In this cont</w:t>
      </w:r>
      <w:r>
        <w:rPr>
          <w:rFonts w:hint="eastAsia"/>
          <w:sz w:val="20"/>
        </w:rPr>
        <w:t>ribution, more views on these three aspects are provided.</w:t>
      </w:r>
    </w:p>
    <w:p w:rsidR="00EA36FC" w:rsidRDefault="00EA36FC">
      <w:pPr>
        <w:widowControl w:val="0"/>
        <w:spacing w:before="120" w:after="120"/>
        <w:rPr>
          <w:sz w:val="20"/>
        </w:rPr>
      </w:pPr>
    </w:p>
    <w:p w:rsidR="00EA36FC" w:rsidRDefault="00841B19">
      <w:pPr>
        <w:pStyle w:val="1"/>
        <w:keepNext w:val="0"/>
        <w:keepLines w:val="0"/>
        <w:widowControl w:val="0"/>
        <w:pBdr>
          <w:top w:val="none" w:sz="0" w:space="0" w:color="auto"/>
        </w:pBdr>
        <w:snapToGrid w:val="0"/>
        <w:spacing w:before="120" w:after="120" w:line="240" w:lineRule="auto"/>
        <w:ind w:left="431" w:hanging="431"/>
        <w:jc w:val="left"/>
      </w:pPr>
      <w:r>
        <w:rPr>
          <w:rFonts w:eastAsia="黑体" w:hint="eastAsia"/>
          <w:szCs w:val="30"/>
        </w:rPr>
        <w:t>Enhancements for simultaneous operation</w:t>
      </w:r>
    </w:p>
    <w:p w:rsidR="00EA36FC" w:rsidRDefault="00841B19">
      <w:pPr>
        <w:pStyle w:val="2"/>
        <w:widowControl w:val="0"/>
        <w:spacing w:before="120" w:after="120"/>
        <w:ind w:right="210"/>
        <w:rPr>
          <w:rFonts w:ascii="Arial" w:hAnsi="Arial" w:cs="Arial"/>
        </w:rPr>
      </w:pPr>
      <w:r>
        <w:rPr>
          <w:rFonts w:ascii="Arial" w:hAnsi="Arial" w:cs="Arial" w:hint="eastAsia"/>
        </w:rPr>
        <w:t>2.1 T</w:t>
      </w:r>
      <w:r>
        <w:rPr>
          <w:rFonts w:ascii="Arial" w:hAnsi="Arial" w:cs="Arial"/>
        </w:rPr>
        <w:t>iming cases for simultaneous operation</w:t>
      </w:r>
    </w:p>
    <w:p w:rsidR="00EA36FC" w:rsidRDefault="00841B19">
      <w:pPr>
        <w:widowControl w:val="0"/>
        <w:spacing w:before="120" w:after="120"/>
        <w:rPr>
          <w:sz w:val="20"/>
        </w:rPr>
      </w:pPr>
      <w:r>
        <w:rPr>
          <w:sz w:val="20"/>
        </w:rPr>
        <w:t>The following agreements have been made in RAN1#10</w:t>
      </w:r>
      <w:r>
        <w:rPr>
          <w:rFonts w:hint="eastAsia"/>
          <w:sz w:val="20"/>
        </w:rPr>
        <w:t>4</w:t>
      </w:r>
      <w:r>
        <w:rPr>
          <w:sz w:val="20"/>
        </w:rPr>
        <w:t xml:space="preserve">-e on </w:t>
      </w:r>
      <w:r>
        <w:rPr>
          <w:rFonts w:hint="eastAsia"/>
          <w:sz w:val="20"/>
        </w:rPr>
        <w:t xml:space="preserve">timing </w:t>
      </w:r>
      <w:r>
        <w:rPr>
          <w:sz w:val="20"/>
        </w:rPr>
        <w:t>[1]:</w:t>
      </w:r>
    </w:p>
    <w:tbl>
      <w:tblPr>
        <w:tblStyle w:val="ae"/>
        <w:tblW w:w="0" w:type="auto"/>
        <w:tblLook w:val="04A0" w:firstRow="1" w:lastRow="0" w:firstColumn="1" w:lastColumn="0" w:noHBand="0" w:noVBand="1"/>
      </w:tblPr>
      <w:tblGrid>
        <w:gridCol w:w="9876"/>
      </w:tblGrid>
      <w:tr w:rsidR="00EA36FC">
        <w:trPr>
          <w:trHeight w:val="1120"/>
        </w:trPr>
        <w:tc>
          <w:tcPr>
            <w:tcW w:w="9876" w:type="dxa"/>
          </w:tcPr>
          <w:p w:rsidR="00EA36FC" w:rsidRPr="00297B77" w:rsidRDefault="00841B19">
            <w:pPr>
              <w:spacing w:before="120" w:after="120"/>
              <w:rPr>
                <w:b/>
                <w:bCs/>
                <w:sz w:val="20"/>
                <w:highlight w:val="green"/>
              </w:rPr>
            </w:pPr>
            <w:r w:rsidRPr="00297B77">
              <w:rPr>
                <w:b/>
                <w:bCs/>
                <w:sz w:val="20"/>
                <w:highlight w:val="green"/>
              </w:rPr>
              <w:t>Agreement</w:t>
            </w:r>
          </w:p>
          <w:p w:rsidR="00EA36FC" w:rsidRPr="00297B77" w:rsidRDefault="00841B19">
            <w:pPr>
              <w:spacing w:before="120" w:after="120"/>
              <w:rPr>
                <w:rFonts w:eastAsia="Calibri" w:cs="Times"/>
                <w:sz w:val="20"/>
              </w:rPr>
            </w:pPr>
            <w:r w:rsidRPr="00297B77">
              <w:rPr>
                <w:sz w:val="20"/>
              </w:rPr>
              <w:t xml:space="preserve">Case 7 timing is supported with </w:t>
            </w:r>
            <w:r w:rsidRPr="00297B77">
              <w:rPr>
                <w:sz w:val="20"/>
              </w:rPr>
              <w:t>symbol level alignment without explicit support for slot level alignment</w:t>
            </w:r>
          </w:p>
          <w:p w:rsidR="00EA36FC" w:rsidRPr="00297B77" w:rsidRDefault="00841B19">
            <w:pPr>
              <w:spacing w:before="120" w:after="120"/>
              <w:rPr>
                <w:rFonts w:cs="Times"/>
                <w:sz w:val="20"/>
              </w:rPr>
            </w:pPr>
            <w:r w:rsidRPr="00297B77">
              <w:rPr>
                <w:rStyle w:val="af"/>
                <w:rFonts w:cs="Times"/>
                <w:sz w:val="20"/>
                <w:highlight w:val="green"/>
              </w:rPr>
              <w:t>Agreement</w:t>
            </w:r>
          </w:p>
          <w:p w:rsidR="00EA36FC" w:rsidRPr="00297B77" w:rsidRDefault="00841B19">
            <w:pPr>
              <w:spacing w:before="120" w:after="120"/>
              <w:rPr>
                <w:rFonts w:cs="Times"/>
                <w:sz w:val="20"/>
              </w:rPr>
            </w:pPr>
            <w:r w:rsidRPr="00297B77">
              <w:rPr>
                <w:rFonts w:cs="Times"/>
                <w:sz w:val="20"/>
              </w:rPr>
              <w:t>Switching between Case 1, Case 6, and Case 7 timing is supported.</w:t>
            </w:r>
          </w:p>
          <w:p w:rsidR="00EA36FC" w:rsidRPr="00297B77" w:rsidRDefault="00841B19">
            <w:pPr>
              <w:numPr>
                <w:ilvl w:val="0"/>
                <w:numId w:val="8"/>
              </w:numPr>
              <w:spacing w:before="120" w:after="120"/>
              <w:rPr>
                <w:rFonts w:cs="Times"/>
                <w:sz w:val="20"/>
              </w:rPr>
            </w:pPr>
            <w:r w:rsidRPr="00297B77">
              <w:rPr>
                <w:rFonts w:cs="Times"/>
                <w:sz w:val="20"/>
              </w:rPr>
              <w:t xml:space="preserve">FFS whether Case 6 and Case 7 timing shall be restricted to certain resources, e.g. excluding resources </w:t>
            </w:r>
            <w:r w:rsidRPr="00297B77">
              <w:rPr>
                <w:rFonts w:cs="Times"/>
                <w:sz w:val="20"/>
              </w:rPr>
              <w:t>used for access or TDM backhaul</w:t>
            </w:r>
          </w:p>
          <w:p w:rsidR="00EA36FC" w:rsidRPr="00297B77" w:rsidRDefault="00841B19">
            <w:pPr>
              <w:numPr>
                <w:ilvl w:val="0"/>
                <w:numId w:val="8"/>
              </w:numPr>
              <w:spacing w:before="120" w:after="120"/>
              <w:rPr>
                <w:rFonts w:cs="Times"/>
                <w:sz w:val="20"/>
              </w:rPr>
            </w:pPr>
            <w:r w:rsidRPr="00297B77">
              <w:rPr>
                <w:rFonts w:cs="Times"/>
                <w:sz w:val="20"/>
              </w:rPr>
              <w:t>FFS details on switching including the switching conditions</w:t>
            </w:r>
          </w:p>
          <w:p w:rsidR="00EA36FC" w:rsidRPr="00297B77" w:rsidRDefault="00841B19">
            <w:pPr>
              <w:numPr>
                <w:ilvl w:val="0"/>
                <w:numId w:val="8"/>
              </w:numPr>
              <w:spacing w:before="120" w:after="120"/>
              <w:rPr>
                <w:sz w:val="20"/>
              </w:rPr>
            </w:pPr>
            <w:r w:rsidRPr="00297B77">
              <w:rPr>
                <w:rFonts w:cs="Times"/>
                <w:sz w:val="20"/>
              </w:rPr>
              <w:t>FFS relationship between switching timing modes with the usage/indication of different resource multiplexing modes</w:t>
            </w:r>
          </w:p>
          <w:p w:rsidR="00EA36FC" w:rsidRDefault="00841B19">
            <w:pPr>
              <w:numPr>
                <w:ilvl w:val="0"/>
                <w:numId w:val="8"/>
              </w:numPr>
              <w:spacing w:before="120" w:after="120"/>
              <w:rPr>
                <w:sz w:val="20"/>
              </w:rPr>
            </w:pPr>
            <w:r w:rsidRPr="00297B77">
              <w:rPr>
                <w:rFonts w:cs="Times"/>
                <w:sz w:val="20"/>
              </w:rPr>
              <w:t>FFS whether Rel-16 OTA synchronization shall be e</w:t>
            </w:r>
            <w:r w:rsidRPr="00297B77">
              <w:rPr>
                <w:rFonts w:cs="Times"/>
                <w:sz w:val="20"/>
              </w:rPr>
              <w:t>nhanced to support switching timing modes</w:t>
            </w:r>
          </w:p>
        </w:tc>
      </w:tr>
    </w:tbl>
    <w:p w:rsidR="00EA36FC" w:rsidRDefault="00841B19">
      <w:pPr>
        <w:widowControl w:val="0"/>
        <w:spacing w:before="120" w:after="120"/>
        <w:rPr>
          <w:sz w:val="20"/>
        </w:rPr>
      </w:pPr>
      <w:r>
        <w:rPr>
          <w:rFonts w:hint="eastAsia"/>
          <w:sz w:val="20"/>
        </w:rPr>
        <w:t>As shown in agreement in RAN1 #104-e meeting, the discussion of switching between different timing mode</w:t>
      </w:r>
      <w:r w:rsidR="00293416">
        <w:rPr>
          <w:sz w:val="20"/>
        </w:rPr>
        <w:t>s</w:t>
      </w:r>
      <w:r>
        <w:rPr>
          <w:rFonts w:hint="eastAsia"/>
          <w:sz w:val="20"/>
        </w:rPr>
        <w:t xml:space="preserve"> needs to be based on the joint consideration of resource allocation, rather than just discussing switching it</w:t>
      </w:r>
      <w:r>
        <w:rPr>
          <w:rFonts w:hint="eastAsia"/>
          <w:sz w:val="20"/>
        </w:rPr>
        <w:t xml:space="preserve">self. Before discussing these FFS on switching, we want to clarify </w:t>
      </w:r>
      <w:r>
        <w:rPr>
          <w:rFonts w:hint="eastAsia"/>
          <w:sz w:val="20"/>
        </w:rPr>
        <w:t>one</w:t>
      </w:r>
      <w:r>
        <w:rPr>
          <w:rFonts w:hint="eastAsia"/>
          <w:sz w:val="20"/>
        </w:rPr>
        <w:t xml:space="preserve"> technical concept related to </w:t>
      </w:r>
      <w:r>
        <w:rPr>
          <w:rFonts w:hint="eastAsia"/>
          <w:sz w:val="20"/>
        </w:rPr>
        <w:t xml:space="preserve">timing mode </w:t>
      </w:r>
      <w:r>
        <w:rPr>
          <w:rFonts w:hint="eastAsia"/>
          <w:sz w:val="20"/>
        </w:rPr>
        <w:t>so that we can have a consensus before further discussion.</w:t>
      </w:r>
      <w:r>
        <w:rPr>
          <w:rFonts w:hint="eastAsia"/>
          <w:sz w:val="20"/>
        </w:rPr>
        <w:t xml:space="preserve"> </w:t>
      </w:r>
      <w:r>
        <w:rPr>
          <w:rFonts w:hint="eastAsia"/>
          <w:sz w:val="20"/>
        </w:rPr>
        <w:t>Timing mode</w:t>
      </w:r>
      <w:r>
        <w:rPr>
          <w:rFonts w:hint="eastAsia"/>
          <w:sz w:val="20"/>
        </w:rPr>
        <w:t xml:space="preserve"> is one of the preconditions for simultaneous operation, and it is also th</w:t>
      </w:r>
      <w:r>
        <w:rPr>
          <w:rFonts w:hint="eastAsia"/>
          <w:sz w:val="20"/>
        </w:rPr>
        <w:t xml:space="preserve">e accurate behavior of IAB-node. For example, for case-6 timing, due to the compatibility problem of UEs on the slot where case-6 timing </w:t>
      </w:r>
      <w:r w:rsidR="00293416">
        <w:rPr>
          <w:rFonts w:hint="eastAsia"/>
          <w:sz w:val="20"/>
        </w:rPr>
        <w:t>is implemented, these slots can</w:t>
      </w:r>
      <w:r>
        <w:rPr>
          <w:rFonts w:hint="eastAsia"/>
          <w:sz w:val="20"/>
        </w:rPr>
        <w:t>not be used by UEs. In order for UEs to communicate normally on other slots, the parent</w:t>
      </w:r>
      <w:r>
        <w:rPr>
          <w:rFonts w:hint="eastAsia"/>
          <w:sz w:val="20"/>
        </w:rPr>
        <w:t xml:space="preserve"> node needs to explicitly dominate the stop of case-6 timing. For case-7 timing, TA or UL-Tx timing at IAB-node would be controlled by the parent node, this means that the parent node will dominate the operation of case-7 timing as well. The above examples</w:t>
      </w:r>
      <w:r>
        <w:rPr>
          <w:rFonts w:hint="eastAsia"/>
          <w:sz w:val="20"/>
        </w:rPr>
        <w:t xml:space="preserve"> fully show that the sw</w:t>
      </w:r>
      <w:r w:rsidR="00293416">
        <w:rPr>
          <w:rFonts w:hint="eastAsia"/>
          <w:sz w:val="20"/>
        </w:rPr>
        <w:t>itching between timing mode</w:t>
      </w:r>
      <w:r w:rsidR="00293416">
        <w:rPr>
          <w:sz w:val="20"/>
        </w:rPr>
        <w:t>s</w:t>
      </w:r>
      <w:r w:rsidR="00293416">
        <w:rPr>
          <w:rFonts w:hint="eastAsia"/>
          <w:sz w:val="20"/>
        </w:rPr>
        <w:t xml:space="preserve"> can</w:t>
      </w:r>
      <w:r>
        <w:rPr>
          <w:rFonts w:hint="eastAsia"/>
          <w:sz w:val="20"/>
        </w:rPr>
        <w:t>not be left to the IAB-node implementation, at most the specific switching event can be left to the parent node implementation, but the timing mode needs to play a role in clarifying the IAB-node behav</w:t>
      </w:r>
      <w:r>
        <w:rPr>
          <w:rFonts w:hint="eastAsia"/>
          <w:sz w:val="20"/>
        </w:rPr>
        <w:t>ior.</w:t>
      </w:r>
    </w:p>
    <w:p w:rsidR="00EA36FC" w:rsidRDefault="00841B19">
      <w:pPr>
        <w:pStyle w:val="YJ-Proposal"/>
        <w:widowControl w:val="0"/>
        <w:spacing w:before="120" w:after="120"/>
        <w:rPr>
          <w:lang w:val="en-US" w:eastAsia="zh-CN"/>
        </w:rPr>
      </w:pPr>
      <w:bookmarkStart w:id="0" w:name="_Toc30911"/>
      <w:bookmarkStart w:id="1" w:name="_Toc6690"/>
      <w:bookmarkStart w:id="2" w:name="_Toc371"/>
      <w:bookmarkStart w:id="3" w:name="_Toc19330"/>
      <w:bookmarkStart w:id="4" w:name="_Toc19098"/>
      <w:bookmarkStart w:id="5" w:name="_Toc24786"/>
      <w:bookmarkStart w:id="6" w:name="_Toc2269"/>
      <w:bookmarkStart w:id="7" w:name="_Toc19492"/>
      <w:bookmarkStart w:id="8" w:name="_Toc1557"/>
      <w:bookmarkStart w:id="9" w:name="_Toc23418"/>
      <w:bookmarkStart w:id="10" w:name="_Toc14739"/>
      <w:bookmarkStart w:id="11" w:name="_Toc10458"/>
      <w:bookmarkStart w:id="12" w:name="_Toc9914"/>
      <w:bookmarkStart w:id="13" w:name="_Toc10455"/>
      <w:bookmarkStart w:id="14" w:name="_Toc29327"/>
      <w:bookmarkStart w:id="15" w:name="_Toc8021"/>
      <w:bookmarkStart w:id="16" w:name="_Toc18652"/>
      <w:bookmarkStart w:id="17" w:name="_Toc21047"/>
      <w:bookmarkStart w:id="18" w:name="_Toc71712001"/>
      <w:r>
        <w:rPr>
          <w:rFonts w:cs="Times" w:hint="eastAsia"/>
          <w:lang w:val="en-US" w:eastAsia="zh-CN"/>
        </w:rPr>
        <w:lastRenderedPageBreak/>
        <w:t>The t</w:t>
      </w:r>
      <w:r>
        <w:rPr>
          <w:rFonts w:cs="Times" w:hint="eastAsia"/>
          <w:lang w:val="en-US" w:eastAsia="zh-CN"/>
        </w:rPr>
        <w:t>iming mode</w:t>
      </w:r>
      <w:r>
        <w:rPr>
          <w:rFonts w:cs="Times" w:hint="eastAsia"/>
          <w:lang w:val="en-US" w:eastAsia="zh-CN"/>
        </w:rPr>
        <w:t xml:space="preserve"> for IAB-node should be controlled or indicated by its parent node</w:t>
      </w:r>
      <w:r>
        <w:rPr>
          <w:rFonts w:cs="Times" w:hint="eastAsia"/>
          <w:lang w:val="en-US" w:eastAsia="zh-CN"/>
        </w:rPr>
        <w: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A36FC" w:rsidRDefault="00841B19">
      <w:pPr>
        <w:widowControl w:val="0"/>
        <w:spacing w:before="120" w:after="120"/>
        <w:rPr>
          <w:sz w:val="20"/>
        </w:rPr>
      </w:pPr>
      <w:r>
        <w:rPr>
          <w:rFonts w:hint="eastAsia"/>
          <w:sz w:val="20"/>
        </w:rPr>
        <w:t>For the 1st FFS, it is not necessary to restrict</w:t>
      </w:r>
      <w:r>
        <w:rPr>
          <w:rFonts w:hint="eastAsia"/>
          <w:sz w:val="20"/>
        </w:rPr>
        <w:t xml:space="preserve"> a timing mode to cer</w:t>
      </w:r>
      <w:r>
        <w:rPr>
          <w:rFonts w:hint="eastAsia"/>
          <w:sz w:val="20"/>
        </w:rPr>
        <w:t xml:space="preserve">tain </w:t>
      </w:r>
      <w:r>
        <w:rPr>
          <w:rFonts w:hint="eastAsia"/>
          <w:sz w:val="20"/>
        </w:rPr>
        <w:t xml:space="preserve">semi-static configured </w:t>
      </w:r>
      <w:r>
        <w:rPr>
          <w:rFonts w:hint="eastAsia"/>
          <w:sz w:val="20"/>
        </w:rPr>
        <w:t xml:space="preserve">resources due to the fact that the parent node </w:t>
      </w:r>
      <w:r>
        <w:rPr>
          <w:rFonts w:hint="eastAsia"/>
          <w:sz w:val="20"/>
        </w:rPr>
        <w:t>can dynamically</w:t>
      </w:r>
      <w:r>
        <w:rPr>
          <w:rFonts w:hint="eastAsia"/>
          <w:sz w:val="20"/>
        </w:rPr>
        <w:t xml:space="preserve"> switch</w:t>
      </w:r>
      <w:r>
        <w:rPr>
          <w:rFonts w:hint="eastAsia"/>
          <w:sz w:val="20"/>
        </w:rPr>
        <w:t xml:space="preserve"> t</w:t>
      </w:r>
      <w:r>
        <w:rPr>
          <w:rFonts w:hint="eastAsia"/>
          <w:sz w:val="20"/>
        </w:rPr>
        <w:t xml:space="preserve">he used </w:t>
      </w:r>
      <w:r>
        <w:rPr>
          <w:rFonts w:hint="eastAsia"/>
          <w:sz w:val="20"/>
        </w:rPr>
        <w:t xml:space="preserve">timing mode </w:t>
      </w:r>
      <w:r>
        <w:rPr>
          <w:rFonts w:hint="eastAsia"/>
          <w:sz w:val="20"/>
        </w:rPr>
        <w:t>based on the known</w:t>
      </w:r>
      <w:r>
        <w:rPr>
          <w:rFonts w:hint="eastAsia"/>
          <w:sz w:val="20"/>
        </w:rPr>
        <w:t xml:space="preserve"> </w:t>
      </w:r>
      <w:r w:rsidR="00293416">
        <w:rPr>
          <w:rFonts w:hint="eastAsia"/>
          <w:sz w:val="20"/>
        </w:rPr>
        <w:t>resource configuration at</w:t>
      </w:r>
      <w:r>
        <w:rPr>
          <w:rFonts w:hint="eastAsia"/>
          <w:sz w:val="20"/>
        </w:rPr>
        <w:t xml:space="preserve"> IAB-DU</w:t>
      </w:r>
      <w:r>
        <w:rPr>
          <w:rFonts w:hint="eastAsia"/>
          <w:sz w:val="20"/>
        </w:rPr>
        <w:t xml:space="preserve">, and it </w:t>
      </w:r>
      <w:r>
        <w:rPr>
          <w:rFonts w:hint="eastAsia"/>
          <w:sz w:val="20"/>
        </w:rPr>
        <w:t>should be up to implementation at the parent node</w:t>
      </w:r>
      <w:r>
        <w:rPr>
          <w:rFonts w:hint="eastAsia"/>
          <w:sz w:val="20"/>
        </w:rPr>
        <w:t xml:space="preserve"> to determine which timing mode is applicable for a given resource</w:t>
      </w:r>
      <w:r>
        <w:rPr>
          <w:rFonts w:hint="eastAsia"/>
          <w:sz w:val="20"/>
        </w:rPr>
        <w:t>.</w:t>
      </w:r>
    </w:p>
    <w:p w:rsidR="00EA36FC" w:rsidRDefault="00841B19">
      <w:pPr>
        <w:pStyle w:val="YJ-Proposal"/>
        <w:widowControl w:val="0"/>
        <w:spacing w:before="120" w:after="120"/>
        <w:rPr>
          <w:rFonts w:cs="Times"/>
          <w:lang w:val="en-US" w:eastAsia="zh-CN"/>
        </w:rPr>
      </w:pPr>
      <w:bookmarkStart w:id="19" w:name="_Toc16385"/>
      <w:bookmarkStart w:id="20" w:name="_Toc32651"/>
      <w:bookmarkStart w:id="21" w:name="_Toc24808"/>
      <w:bookmarkStart w:id="22" w:name="_Toc22144"/>
      <w:bookmarkStart w:id="23" w:name="_Toc28673"/>
      <w:bookmarkStart w:id="24" w:name="_Toc29939"/>
      <w:bookmarkStart w:id="25" w:name="_Toc19865"/>
      <w:bookmarkStart w:id="26" w:name="_Toc7531"/>
      <w:bookmarkStart w:id="27" w:name="_Toc24846"/>
      <w:bookmarkStart w:id="28" w:name="_Toc4393"/>
      <w:bookmarkStart w:id="29" w:name="_Toc32698"/>
      <w:bookmarkStart w:id="30" w:name="_Toc25607"/>
      <w:bookmarkStart w:id="31" w:name="_Toc29791"/>
      <w:bookmarkStart w:id="32" w:name="_Toc20070"/>
      <w:bookmarkStart w:id="33" w:name="_Toc13337"/>
      <w:bookmarkStart w:id="34" w:name="_Toc28072"/>
      <w:bookmarkStart w:id="35" w:name="_Toc11592"/>
      <w:bookmarkStart w:id="36" w:name="_Toc19705"/>
      <w:bookmarkStart w:id="37" w:name="_Toc8777"/>
      <w:bookmarkStart w:id="38" w:name="_Toc18678"/>
      <w:bookmarkStart w:id="39" w:name="_Toc71712002"/>
      <w:r>
        <w:rPr>
          <w:rFonts w:cs="Times" w:hint="eastAsia"/>
          <w:lang w:val="en-US" w:eastAsia="zh-CN"/>
        </w:rPr>
        <w:t xml:space="preserve">Timing mode does not have to be restricted to certain </w:t>
      </w:r>
      <w:r>
        <w:rPr>
          <w:rFonts w:cs="Times" w:hint="eastAsia"/>
          <w:lang w:val="en-US" w:eastAsia="zh-CN"/>
        </w:rPr>
        <w:t>resources.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EA36FC" w:rsidRDefault="00841B19">
      <w:pPr>
        <w:widowControl w:val="0"/>
        <w:spacing w:before="120" w:after="120"/>
        <w:rPr>
          <w:iCs/>
          <w:sz w:val="20"/>
        </w:rPr>
      </w:pPr>
      <w:r>
        <w:rPr>
          <w:rFonts w:hint="eastAsia"/>
          <w:iCs/>
          <w:sz w:val="20"/>
        </w:rPr>
        <w:t xml:space="preserve">Considering </w:t>
      </w:r>
      <w:r>
        <w:rPr>
          <w:iCs/>
          <w:sz w:val="20"/>
        </w:rPr>
        <w:t>that content in the 3rd FFS can be used as one of the switching mechanisms</w:t>
      </w:r>
      <w:r>
        <w:rPr>
          <w:rFonts w:hint="eastAsia"/>
          <w:iCs/>
          <w:sz w:val="20"/>
        </w:rPr>
        <w:t>, t</w:t>
      </w:r>
      <w:r>
        <w:rPr>
          <w:iCs/>
          <w:sz w:val="20"/>
        </w:rPr>
        <w:t>he 2nd FFS and 3rd FFS can be discussed together</w:t>
      </w:r>
      <w:r w:rsidR="00CF5B3A">
        <w:rPr>
          <w:rFonts w:hint="eastAsia"/>
          <w:iCs/>
          <w:sz w:val="20"/>
        </w:rPr>
        <w:t>.</w:t>
      </w:r>
      <w:r>
        <w:rPr>
          <w:iCs/>
          <w:sz w:val="20"/>
        </w:rPr>
        <w:t xml:space="preserve"> </w:t>
      </w:r>
      <w:r>
        <w:rPr>
          <w:rFonts w:hint="eastAsia"/>
          <w:iCs/>
          <w:sz w:val="20"/>
        </w:rPr>
        <w:t>Both of the</w:t>
      </w:r>
      <w:r>
        <w:rPr>
          <w:iCs/>
          <w:sz w:val="20"/>
        </w:rPr>
        <w:t xml:space="preserve"> two FFS</w:t>
      </w:r>
      <w:r>
        <w:rPr>
          <w:rFonts w:hint="eastAsia"/>
          <w:iCs/>
          <w:sz w:val="20"/>
        </w:rPr>
        <w:t>s are related</w:t>
      </w:r>
      <w:r>
        <w:rPr>
          <w:iCs/>
          <w:sz w:val="20"/>
        </w:rPr>
        <w:t xml:space="preserve"> to switching</w:t>
      </w:r>
      <w:r>
        <w:rPr>
          <w:rFonts w:hint="eastAsia"/>
          <w:iCs/>
          <w:sz w:val="20"/>
        </w:rPr>
        <w:t xml:space="preserve"> </w:t>
      </w:r>
      <w:r>
        <w:rPr>
          <w:iCs/>
          <w:sz w:val="20"/>
        </w:rPr>
        <w:t>mechanism and switching condition</w:t>
      </w:r>
      <w:r>
        <w:rPr>
          <w:rFonts w:hint="eastAsia"/>
          <w:iCs/>
          <w:sz w:val="20"/>
        </w:rPr>
        <w:t>.</w:t>
      </w:r>
      <w:r>
        <w:rPr>
          <w:rFonts w:hint="eastAsia"/>
          <w:iCs/>
          <w:sz w:val="20"/>
        </w:rPr>
        <w:t xml:space="preserve"> Here, we propose to down</w:t>
      </w:r>
      <w:r>
        <w:rPr>
          <w:rFonts w:hint="eastAsia"/>
          <w:iCs/>
          <w:sz w:val="20"/>
        </w:rPr>
        <w:t xml:space="preserve"> select one of the two switching mechanisms as shown in the following.</w:t>
      </w:r>
    </w:p>
    <w:p w:rsidR="00EA36FC" w:rsidRDefault="00841B19">
      <w:pPr>
        <w:widowControl w:val="0"/>
        <w:spacing w:before="120" w:after="120"/>
        <w:rPr>
          <w:iCs/>
          <w:sz w:val="20"/>
        </w:rPr>
      </w:pPr>
      <w:r>
        <w:rPr>
          <w:rFonts w:hint="eastAsia"/>
          <w:iCs/>
          <w:sz w:val="20"/>
        </w:rPr>
        <w:t>O</w:t>
      </w:r>
      <w:r>
        <w:rPr>
          <w:iCs/>
          <w:sz w:val="20"/>
        </w:rPr>
        <w:t>ption 1</w:t>
      </w:r>
      <w:r>
        <w:rPr>
          <w:rFonts w:hint="eastAsia"/>
          <w:iCs/>
          <w:sz w:val="20"/>
        </w:rPr>
        <w:t>: P</w:t>
      </w:r>
      <w:r>
        <w:rPr>
          <w:iCs/>
          <w:sz w:val="20"/>
        </w:rPr>
        <w:t xml:space="preserve">arent node </w:t>
      </w:r>
      <w:r>
        <w:rPr>
          <w:rFonts w:hint="eastAsia"/>
          <w:iCs/>
          <w:sz w:val="20"/>
        </w:rPr>
        <w:t>explicitly</w:t>
      </w:r>
      <w:r>
        <w:rPr>
          <w:iCs/>
          <w:sz w:val="20"/>
        </w:rPr>
        <w:t xml:space="preserve"> switches the timing mode</w:t>
      </w:r>
      <w:r>
        <w:rPr>
          <w:rFonts w:hint="eastAsia"/>
          <w:iCs/>
          <w:sz w:val="20"/>
        </w:rPr>
        <w:t xml:space="preserve"> or implicitly</w:t>
      </w:r>
      <w:r>
        <w:rPr>
          <w:iCs/>
          <w:sz w:val="20"/>
        </w:rPr>
        <w:t xml:space="preserve"> </w:t>
      </w:r>
      <w:r>
        <w:rPr>
          <w:rFonts w:hint="eastAsia"/>
          <w:iCs/>
          <w:sz w:val="20"/>
        </w:rPr>
        <w:t>changes</w:t>
      </w:r>
      <w:r>
        <w:rPr>
          <w:iCs/>
          <w:sz w:val="20"/>
        </w:rPr>
        <w:t xml:space="preserve"> the usage/indication multiplexing modes, </w:t>
      </w:r>
      <w:r>
        <w:rPr>
          <w:rFonts w:hint="eastAsia"/>
          <w:iCs/>
          <w:sz w:val="20"/>
        </w:rPr>
        <w:t>i.e</w:t>
      </w:r>
      <w:r w:rsidR="00CF5B3A">
        <w:rPr>
          <w:iCs/>
          <w:sz w:val="20"/>
        </w:rPr>
        <w:t>.</w:t>
      </w:r>
      <w:r>
        <w:rPr>
          <w:iCs/>
          <w:sz w:val="20"/>
        </w:rPr>
        <w:t>, dominating</w:t>
      </w:r>
      <w:r>
        <w:rPr>
          <w:rFonts w:hint="eastAsia"/>
          <w:iCs/>
          <w:sz w:val="20"/>
        </w:rPr>
        <w:t xml:space="preserve"> </w:t>
      </w:r>
      <w:r>
        <w:rPr>
          <w:iCs/>
          <w:sz w:val="20"/>
        </w:rPr>
        <w:t xml:space="preserve">the timing mode </w:t>
      </w:r>
      <w:r>
        <w:rPr>
          <w:rFonts w:hint="eastAsia"/>
          <w:iCs/>
          <w:sz w:val="20"/>
        </w:rPr>
        <w:t xml:space="preserve">itself </w:t>
      </w:r>
      <w:r>
        <w:rPr>
          <w:iCs/>
          <w:sz w:val="20"/>
        </w:rPr>
        <w:t>to operate or stop</w:t>
      </w:r>
    </w:p>
    <w:p w:rsidR="00EA36FC" w:rsidRDefault="00841B19">
      <w:pPr>
        <w:widowControl w:val="0"/>
        <w:spacing w:before="120" w:after="120"/>
        <w:rPr>
          <w:iCs/>
          <w:sz w:val="20"/>
        </w:rPr>
      </w:pPr>
      <w:r>
        <w:rPr>
          <w:rFonts w:hint="eastAsia"/>
          <w:iCs/>
          <w:sz w:val="20"/>
        </w:rPr>
        <w:t>O</w:t>
      </w:r>
      <w:r>
        <w:rPr>
          <w:iCs/>
          <w:sz w:val="20"/>
        </w:rPr>
        <w:t>ption</w:t>
      </w:r>
      <w:r>
        <w:rPr>
          <w:iCs/>
          <w:sz w:val="20"/>
        </w:rPr>
        <w:t xml:space="preserve"> 2</w:t>
      </w:r>
      <w:r>
        <w:rPr>
          <w:rFonts w:hint="eastAsia"/>
          <w:iCs/>
          <w:sz w:val="20"/>
        </w:rPr>
        <w:t>: P</w:t>
      </w:r>
      <w:r>
        <w:rPr>
          <w:iCs/>
          <w:sz w:val="20"/>
        </w:rPr>
        <w:t>arent node only switches the U</w:t>
      </w:r>
      <w:r>
        <w:rPr>
          <w:rFonts w:hint="eastAsia"/>
          <w:iCs/>
          <w:sz w:val="20"/>
        </w:rPr>
        <w:t>L-Tx timing</w:t>
      </w:r>
      <w:r>
        <w:rPr>
          <w:iCs/>
          <w:sz w:val="20"/>
        </w:rPr>
        <w:t xml:space="preserve"> involved in timing</w:t>
      </w:r>
      <w:r>
        <w:rPr>
          <w:rFonts w:hint="eastAsia"/>
          <w:iCs/>
          <w:sz w:val="20"/>
        </w:rPr>
        <w:t xml:space="preserve"> mode</w:t>
      </w:r>
    </w:p>
    <w:p w:rsidR="00EA36FC" w:rsidRDefault="00841B19">
      <w:pPr>
        <w:pStyle w:val="YJ-Proposal"/>
        <w:widowControl w:val="0"/>
        <w:spacing w:before="120" w:after="120"/>
        <w:rPr>
          <w:lang w:val="en-US" w:eastAsia="zh-CN"/>
        </w:rPr>
      </w:pPr>
      <w:bookmarkStart w:id="40" w:name="_Toc2025"/>
      <w:bookmarkStart w:id="41" w:name="_Toc18809"/>
      <w:bookmarkStart w:id="42" w:name="_Toc11930"/>
      <w:bookmarkStart w:id="43" w:name="_Toc8518"/>
      <w:bookmarkStart w:id="44" w:name="_Toc31278"/>
      <w:bookmarkStart w:id="45" w:name="_Toc480"/>
      <w:bookmarkStart w:id="46" w:name="_Toc17115"/>
      <w:bookmarkStart w:id="47" w:name="_Toc21208"/>
      <w:bookmarkStart w:id="48" w:name="_Toc26853"/>
      <w:bookmarkStart w:id="49" w:name="_Toc28735"/>
      <w:bookmarkStart w:id="50" w:name="_Toc26656"/>
      <w:bookmarkStart w:id="51" w:name="_Toc10234"/>
      <w:bookmarkStart w:id="52" w:name="_Toc14914"/>
      <w:bookmarkStart w:id="53" w:name="_Toc10216"/>
      <w:bookmarkStart w:id="54" w:name="_Toc23534"/>
      <w:bookmarkStart w:id="55" w:name="_Toc18345"/>
      <w:bookmarkStart w:id="56" w:name="_Toc25091"/>
      <w:bookmarkStart w:id="57" w:name="_Toc29238"/>
      <w:bookmarkStart w:id="58" w:name="_Toc71712003"/>
      <w:r>
        <w:rPr>
          <w:rFonts w:cs="Times" w:hint="eastAsia"/>
          <w:lang w:val="en-US" w:eastAsia="zh-CN"/>
        </w:rPr>
        <w:t>W</w:t>
      </w:r>
      <w:r>
        <w:rPr>
          <w:rFonts w:cs="Times"/>
          <w:lang w:val="en-US" w:eastAsia="zh-CN"/>
        </w:rPr>
        <w:t>hen to switch</w:t>
      </w:r>
      <w:r>
        <w:rPr>
          <w:rFonts w:cs="Times" w:hint="eastAsia"/>
          <w:lang w:val="en-US" w:eastAsia="zh-CN"/>
        </w:rPr>
        <w:t xml:space="preserve"> timing mode</w:t>
      </w:r>
      <w:r>
        <w:rPr>
          <w:rFonts w:cs="Times"/>
          <w:lang w:val="en-US" w:eastAsia="zh-CN"/>
        </w:rPr>
        <w:t xml:space="preserve"> is left to the parent node.</w:t>
      </w:r>
      <w:r>
        <w:rPr>
          <w:rFonts w:cs="Times" w:hint="eastAsia"/>
          <w:lang w:val="en-US" w:eastAsia="zh-CN"/>
        </w:rPr>
        <w:t xml:space="preserve"> The following s</w:t>
      </w:r>
      <w:r>
        <w:rPr>
          <w:rFonts w:cs="Times"/>
          <w:lang w:val="en-US" w:eastAsia="zh-CN"/>
        </w:rPr>
        <w:t>witching mechanism</w:t>
      </w:r>
      <w:r>
        <w:rPr>
          <w:rFonts w:cs="Times" w:hint="eastAsia"/>
          <w:lang w:val="en-US" w:eastAsia="zh-CN"/>
        </w:rPr>
        <w:t xml:space="preserve"> could be further down selection: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Pr>
          <w:rFonts w:hint="eastAsia"/>
          <w:lang w:val="en-US" w:eastAsia="zh-CN"/>
        </w:rPr>
        <w:t xml:space="preserve">  </w:t>
      </w:r>
    </w:p>
    <w:p w:rsidR="00EA36FC" w:rsidRDefault="00841B19">
      <w:pPr>
        <w:pStyle w:val="sub-proposal"/>
        <w:widowControl w:val="0"/>
        <w:tabs>
          <w:tab w:val="left" w:pos="420"/>
        </w:tabs>
        <w:spacing w:before="120" w:after="120"/>
        <w:ind w:left="420" w:firstLineChars="0" w:firstLine="0"/>
        <w:rPr>
          <w:lang w:val="en-US" w:eastAsia="zh-CN"/>
        </w:rPr>
      </w:pPr>
      <w:bookmarkStart w:id="59" w:name="_Toc5268"/>
      <w:bookmarkStart w:id="60" w:name="_Toc31022"/>
      <w:bookmarkStart w:id="61" w:name="_Toc32588"/>
      <w:bookmarkStart w:id="62" w:name="_Toc5266"/>
      <w:bookmarkStart w:id="63" w:name="_Toc32728"/>
      <w:bookmarkStart w:id="64" w:name="_Toc23763"/>
      <w:bookmarkStart w:id="65" w:name="_Toc6888"/>
      <w:bookmarkStart w:id="66" w:name="_Toc1626"/>
      <w:bookmarkStart w:id="67" w:name="_Toc31658"/>
      <w:bookmarkStart w:id="68" w:name="_Toc31954"/>
      <w:bookmarkStart w:id="69" w:name="_Toc29947"/>
      <w:bookmarkStart w:id="70" w:name="_Toc25762"/>
      <w:bookmarkStart w:id="71" w:name="_Toc8034"/>
      <w:bookmarkStart w:id="72" w:name="_Toc15641"/>
      <w:bookmarkStart w:id="73" w:name="_Toc1198"/>
      <w:bookmarkStart w:id="74" w:name="_Toc26553"/>
      <w:bookmarkStart w:id="75" w:name="_Toc8996"/>
      <w:bookmarkStart w:id="76" w:name="_Toc25789"/>
      <w:bookmarkStart w:id="77" w:name="_Toc71712004"/>
      <w:r>
        <w:rPr>
          <w:rFonts w:hint="eastAsia"/>
          <w:iCs w:val="0"/>
          <w:lang w:val="en-US" w:eastAsia="zh-CN"/>
        </w:rPr>
        <w:t>O</w:t>
      </w:r>
      <w:r>
        <w:rPr>
          <w:rFonts w:eastAsia="宋体"/>
          <w:iCs w:val="0"/>
          <w:lang w:val="en-US" w:eastAsia="zh-CN"/>
        </w:rPr>
        <w:t>ption 1</w:t>
      </w:r>
      <w:r>
        <w:rPr>
          <w:rFonts w:hint="eastAsia"/>
          <w:iCs w:val="0"/>
          <w:lang w:val="en-US" w:eastAsia="zh-CN"/>
        </w:rPr>
        <w:t>: P</w:t>
      </w:r>
      <w:r>
        <w:rPr>
          <w:rFonts w:eastAsia="宋体"/>
          <w:iCs w:val="0"/>
          <w:lang w:val="en-US" w:eastAsia="zh-CN"/>
        </w:rPr>
        <w:t xml:space="preserve">arent </w:t>
      </w:r>
      <w:r>
        <w:rPr>
          <w:rFonts w:eastAsia="Calibri"/>
          <w:iCs w:val="0"/>
          <w:lang w:val="en-US" w:eastAsia="zh-CN"/>
        </w:rPr>
        <w:t xml:space="preserve">node </w:t>
      </w:r>
      <w:r>
        <w:rPr>
          <w:rFonts w:hint="eastAsia"/>
          <w:lang w:val="en-US" w:eastAsia="zh-CN"/>
        </w:rPr>
        <w:t>explicitly</w:t>
      </w:r>
      <w:r>
        <w:rPr>
          <w:rFonts w:eastAsia="宋体"/>
          <w:lang w:val="en-US" w:eastAsia="zh-CN"/>
        </w:rPr>
        <w:t xml:space="preserve"> </w:t>
      </w:r>
      <w:r>
        <w:rPr>
          <w:rFonts w:eastAsia="宋体"/>
          <w:iCs w:val="0"/>
          <w:lang w:val="en-US" w:eastAsia="zh-CN"/>
        </w:rPr>
        <w:t>switches the timing mode</w:t>
      </w:r>
      <w:r>
        <w:rPr>
          <w:rFonts w:eastAsia="宋体" w:hint="eastAsia"/>
          <w:iCs w:val="0"/>
          <w:lang w:val="en-US" w:eastAsia="zh-CN"/>
        </w:rPr>
        <w:t xml:space="preserve"> </w:t>
      </w:r>
      <w:r>
        <w:rPr>
          <w:rFonts w:hint="eastAsia"/>
          <w:lang w:val="en-US" w:eastAsia="zh-CN"/>
        </w:rPr>
        <w:t xml:space="preserve">or </w:t>
      </w:r>
      <w:r>
        <w:rPr>
          <w:rFonts w:hint="eastAsia"/>
          <w:lang w:val="en-US" w:eastAsia="zh-CN"/>
        </w:rPr>
        <w:t>implicitly</w:t>
      </w:r>
      <w:r>
        <w:rPr>
          <w:rFonts w:eastAsia="宋体"/>
          <w:lang w:val="en-US" w:eastAsia="zh-CN"/>
        </w:rPr>
        <w:t xml:space="preserve"> </w:t>
      </w:r>
      <w:r>
        <w:rPr>
          <w:rFonts w:hint="eastAsia"/>
          <w:lang w:val="en-US" w:eastAsia="zh-CN"/>
        </w:rPr>
        <w:t>changes</w:t>
      </w:r>
      <w:r>
        <w:rPr>
          <w:rFonts w:eastAsia="宋体"/>
          <w:lang w:val="en-US" w:eastAsia="zh-CN"/>
        </w:rPr>
        <w:t xml:space="preserve"> the usage/indication multiplexing modes</w:t>
      </w:r>
      <w:r>
        <w:rPr>
          <w:rFonts w:eastAsia="宋体"/>
          <w:iCs w:val="0"/>
          <w:lang w:val="en-US" w:eastAsia="zh-CN"/>
        </w:rPr>
        <w:t xml:space="preserve">, </w:t>
      </w:r>
      <w:r>
        <w:rPr>
          <w:rFonts w:hint="eastAsia"/>
          <w:iCs w:val="0"/>
          <w:lang w:val="en-US" w:eastAsia="zh-CN"/>
        </w:rPr>
        <w:t>i.e.,</w:t>
      </w:r>
      <w:r>
        <w:rPr>
          <w:rFonts w:eastAsia="宋体"/>
          <w:iCs w:val="0"/>
          <w:lang w:val="en-US" w:eastAsia="zh-CN"/>
        </w:rPr>
        <w:t xml:space="preserve"> dominating</w:t>
      </w:r>
      <w:r>
        <w:rPr>
          <w:rFonts w:hint="eastAsia"/>
          <w:iCs w:val="0"/>
          <w:lang w:val="en-US" w:eastAsia="zh-CN"/>
        </w:rPr>
        <w:t xml:space="preserve"> </w:t>
      </w:r>
      <w:r>
        <w:rPr>
          <w:rFonts w:eastAsia="宋体"/>
          <w:iCs w:val="0"/>
          <w:lang w:val="en-US" w:eastAsia="zh-CN"/>
        </w:rPr>
        <w:t xml:space="preserve">the timing mode </w:t>
      </w:r>
      <w:r>
        <w:rPr>
          <w:rFonts w:hint="eastAsia"/>
          <w:lang w:val="en-US" w:eastAsia="zh-CN"/>
        </w:rPr>
        <w:t xml:space="preserve">itself </w:t>
      </w:r>
      <w:r>
        <w:rPr>
          <w:rFonts w:eastAsia="宋体"/>
          <w:iCs w:val="0"/>
          <w:lang w:val="en-US" w:eastAsia="zh-CN"/>
        </w:rPr>
        <w:t>to operate or stop</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EA36FC" w:rsidRDefault="00841B19">
      <w:pPr>
        <w:pStyle w:val="sub-proposal"/>
        <w:widowControl w:val="0"/>
        <w:tabs>
          <w:tab w:val="left" w:pos="420"/>
        </w:tabs>
        <w:spacing w:before="120" w:after="120"/>
        <w:ind w:left="822" w:hanging="402"/>
        <w:rPr>
          <w:b w:val="0"/>
          <w:bCs w:val="0"/>
          <w:i w:val="0"/>
          <w:lang w:val="en-US" w:eastAsia="zh-CN"/>
        </w:rPr>
      </w:pPr>
      <w:bookmarkStart w:id="78" w:name="_Toc314"/>
      <w:bookmarkStart w:id="79" w:name="_Toc29187"/>
      <w:bookmarkStart w:id="80" w:name="_Toc4301"/>
      <w:bookmarkStart w:id="81" w:name="_Toc31109"/>
      <w:bookmarkStart w:id="82" w:name="_Toc20256"/>
      <w:bookmarkStart w:id="83" w:name="_Toc2852"/>
      <w:bookmarkStart w:id="84" w:name="_Toc19290"/>
      <w:bookmarkStart w:id="85" w:name="_Toc4329"/>
      <w:bookmarkStart w:id="86" w:name="_Toc12054"/>
      <w:bookmarkStart w:id="87" w:name="_Toc3606"/>
      <w:bookmarkStart w:id="88" w:name="_Toc13770"/>
      <w:bookmarkStart w:id="89" w:name="_Toc17181"/>
      <w:bookmarkStart w:id="90" w:name="_Toc11972"/>
      <w:bookmarkStart w:id="91" w:name="_Toc16018"/>
      <w:bookmarkStart w:id="92" w:name="_Toc25712"/>
      <w:bookmarkStart w:id="93" w:name="_Toc23356"/>
      <w:bookmarkStart w:id="94" w:name="_Toc11477"/>
      <w:bookmarkStart w:id="95" w:name="_Toc5975"/>
      <w:bookmarkStart w:id="96" w:name="_Toc71712005"/>
      <w:r>
        <w:rPr>
          <w:rFonts w:hint="eastAsia"/>
          <w:iCs w:val="0"/>
          <w:lang w:val="en-US" w:eastAsia="zh-CN"/>
        </w:rPr>
        <w:t>O</w:t>
      </w:r>
      <w:r>
        <w:rPr>
          <w:rFonts w:eastAsia="宋体"/>
          <w:iCs w:val="0"/>
          <w:lang w:val="en-US" w:eastAsia="zh-CN"/>
        </w:rPr>
        <w:t>ption 2</w:t>
      </w:r>
      <w:r>
        <w:rPr>
          <w:rFonts w:hint="eastAsia"/>
          <w:iCs w:val="0"/>
          <w:lang w:val="en-US" w:eastAsia="zh-CN"/>
        </w:rPr>
        <w:t>: P</w:t>
      </w:r>
      <w:r>
        <w:rPr>
          <w:rFonts w:eastAsia="宋体"/>
          <w:iCs w:val="0"/>
          <w:lang w:val="en-US" w:eastAsia="zh-CN"/>
        </w:rPr>
        <w:t>arent node only switches the U</w:t>
      </w:r>
      <w:r>
        <w:rPr>
          <w:rFonts w:hint="eastAsia"/>
          <w:iCs w:val="0"/>
          <w:lang w:val="en-US" w:eastAsia="zh-CN"/>
        </w:rPr>
        <w:t>L-Tx timing</w:t>
      </w:r>
      <w:r>
        <w:rPr>
          <w:rFonts w:eastAsia="宋体"/>
          <w:iCs w:val="0"/>
          <w:lang w:val="en-US" w:eastAsia="zh-CN"/>
        </w:rPr>
        <w:t xml:space="preserve"> involved in timing</w:t>
      </w:r>
      <w:r>
        <w:rPr>
          <w:rFonts w:eastAsia="宋体" w:hint="eastAsia"/>
          <w:iCs w:val="0"/>
          <w:lang w:val="en-US" w:eastAsia="zh-CN"/>
        </w:rPr>
        <w:t xml:space="preserve"> mode</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rsidR="00EA36FC" w:rsidRDefault="00841B19">
      <w:pPr>
        <w:widowControl w:val="0"/>
        <w:spacing w:before="120" w:after="120"/>
        <w:rPr>
          <w:iCs/>
          <w:sz w:val="20"/>
        </w:rPr>
      </w:pPr>
      <w:r>
        <w:rPr>
          <w:rFonts w:hint="eastAsia"/>
          <w:iCs/>
          <w:sz w:val="20"/>
        </w:rPr>
        <w:t xml:space="preserve">For switching </w:t>
      </w:r>
      <w:r>
        <w:rPr>
          <w:iCs/>
          <w:sz w:val="20"/>
        </w:rPr>
        <w:t>conditions</w:t>
      </w:r>
      <w:r>
        <w:rPr>
          <w:rFonts w:hint="eastAsia"/>
          <w:iCs/>
          <w:sz w:val="20"/>
        </w:rPr>
        <w:t>, w</w:t>
      </w:r>
      <w:r>
        <w:rPr>
          <w:iCs/>
          <w:sz w:val="20"/>
        </w:rPr>
        <w:t xml:space="preserve">e think that the parent node </w:t>
      </w:r>
      <w:r>
        <w:rPr>
          <w:iCs/>
          <w:sz w:val="20"/>
        </w:rPr>
        <w:t>should</w:t>
      </w:r>
      <w:r>
        <w:rPr>
          <w:rFonts w:hint="eastAsia"/>
          <w:iCs/>
          <w:sz w:val="20"/>
        </w:rPr>
        <w:t xml:space="preserve"> </w:t>
      </w:r>
      <w:r>
        <w:rPr>
          <w:iCs/>
          <w:sz w:val="20"/>
        </w:rPr>
        <w:t>dominat</w:t>
      </w:r>
      <w:r>
        <w:rPr>
          <w:rFonts w:hint="eastAsia"/>
          <w:iCs/>
          <w:sz w:val="20"/>
        </w:rPr>
        <w:t>e</w:t>
      </w:r>
      <w:r>
        <w:rPr>
          <w:iCs/>
          <w:sz w:val="20"/>
        </w:rPr>
        <w:t xml:space="preserve"> switch</w:t>
      </w:r>
      <w:r>
        <w:rPr>
          <w:rFonts w:hint="eastAsia"/>
          <w:iCs/>
          <w:sz w:val="20"/>
        </w:rPr>
        <w:t>ing between</w:t>
      </w:r>
      <w:r>
        <w:rPr>
          <w:iCs/>
          <w:sz w:val="20"/>
        </w:rPr>
        <w:t xml:space="preserve"> timing mode, but it does not need </w:t>
      </w:r>
      <w:r>
        <w:rPr>
          <w:rFonts w:hint="eastAsia"/>
          <w:iCs/>
          <w:sz w:val="20"/>
        </w:rPr>
        <w:t>to specify</w:t>
      </w:r>
      <w:r>
        <w:rPr>
          <w:iCs/>
          <w:sz w:val="20"/>
        </w:rPr>
        <w:t xml:space="preserve"> </w:t>
      </w:r>
      <w:r>
        <w:rPr>
          <w:rFonts w:hint="eastAsia"/>
          <w:iCs/>
          <w:sz w:val="20"/>
        </w:rPr>
        <w:t xml:space="preserve">switching </w:t>
      </w:r>
      <w:r>
        <w:rPr>
          <w:iCs/>
          <w:sz w:val="20"/>
        </w:rPr>
        <w:t>conditions or events to trigger the switch</w:t>
      </w:r>
      <w:r>
        <w:rPr>
          <w:rFonts w:hint="eastAsia"/>
          <w:iCs/>
          <w:sz w:val="20"/>
        </w:rPr>
        <w:t>ing</w:t>
      </w:r>
      <w:r>
        <w:rPr>
          <w:iCs/>
          <w:sz w:val="20"/>
        </w:rPr>
        <w:t xml:space="preserve">, </w:t>
      </w:r>
      <w:r>
        <w:rPr>
          <w:rFonts w:hint="eastAsia"/>
          <w:iCs/>
          <w:sz w:val="20"/>
        </w:rPr>
        <w:t>i.e.</w:t>
      </w:r>
      <w:r>
        <w:rPr>
          <w:iCs/>
          <w:sz w:val="20"/>
        </w:rPr>
        <w:t>, when to switch is left to the parent node.</w:t>
      </w:r>
    </w:p>
    <w:p w:rsidR="00EA36FC" w:rsidRDefault="00841B19">
      <w:pPr>
        <w:pStyle w:val="YJ-Proposal"/>
        <w:widowControl w:val="0"/>
        <w:spacing w:before="120" w:after="120"/>
        <w:rPr>
          <w:rFonts w:eastAsia="宋体"/>
          <w:b w:val="0"/>
          <w:bCs w:val="0"/>
          <w:i w:val="0"/>
          <w:lang w:val="en-US" w:eastAsia="zh-CN"/>
        </w:rPr>
      </w:pPr>
      <w:bookmarkStart w:id="97" w:name="_Toc25624"/>
      <w:bookmarkStart w:id="98" w:name="_Toc19514"/>
      <w:bookmarkStart w:id="99" w:name="_Toc12805"/>
      <w:bookmarkStart w:id="100" w:name="_Toc28298"/>
      <w:bookmarkStart w:id="101" w:name="_Toc25003"/>
      <w:bookmarkStart w:id="102" w:name="_Toc7271"/>
      <w:bookmarkStart w:id="103" w:name="_Toc3298"/>
      <w:bookmarkStart w:id="104" w:name="_Toc6505"/>
      <w:bookmarkStart w:id="105" w:name="_Toc15514"/>
      <w:bookmarkStart w:id="106" w:name="_Toc10095"/>
      <w:bookmarkStart w:id="107" w:name="_Toc5828"/>
      <w:bookmarkStart w:id="108" w:name="_Toc434"/>
      <w:bookmarkStart w:id="109" w:name="_Toc14371"/>
      <w:bookmarkStart w:id="110" w:name="_Toc22497"/>
      <w:bookmarkStart w:id="111" w:name="_Toc32206"/>
      <w:bookmarkStart w:id="112" w:name="_Toc6432"/>
      <w:bookmarkStart w:id="113" w:name="_Toc25074"/>
      <w:bookmarkStart w:id="114" w:name="_Toc71712006"/>
      <w:r>
        <w:rPr>
          <w:rFonts w:eastAsia="宋体" w:hint="eastAsia"/>
          <w:iCs w:val="0"/>
          <w:lang w:val="en-US" w:eastAsia="zh-CN"/>
        </w:rPr>
        <w:t>I</w:t>
      </w:r>
      <w:r>
        <w:rPr>
          <w:rFonts w:eastAsia="宋体"/>
          <w:iCs w:val="0"/>
          <w:lang w:val="en-US" w:eastAsia="zh-CN"/>
        </w:rPr>
        <w:t xml:space="preserve">t does not need </w:t>
      </w:r>
      <w:r>
        <w:rPr>
          <w:rFonts w:eastAsia="宋体" w:hint="eastAsia"/>
          <w:iCs w:val="0"/>
          <w:lang w:val="en-US" w:eastAsia="zh-CN"/>
        </w:rPr>
        <w:t>to specify</w:t>
      </w:r>
      <w:r>
        <w:rPr>
          <w:rFonts w:eastAsia="宋体"/>
          <w:iCs w:val="0"/>
          <w:lang w:val="en-US" w:eastAsia="zh-CN"/>
        </w:rPr>
        <w:t xml:space="preserve"> </w:t>
      </w:r>
      <w:r>
        <w:rPr>
          <w:rFonts w:hint="eastAsia"/>
          <w:iCs w:val="0"/>
          <w:lang w:val="en-US" w:eastAsia="zh-CN"/>
        </w:rPr>
        <w:t xml:space="preserve">switching </w:t>
      </w:r>
      <w:r>
        <w:rPr>
          <w:rFonts w:eastAsia="宋体"/>
          <w:iCs w:val="0"/>
          <w:lang w:val="en-US" w:eastAsia="zh-CN"/>
        </w:rPr>
        <w:t xml:space="preserve">conditions or events to trigger </w:t>
      </w:r>
      <w:r>
        <w:rPr>
          <w:rFonts w:eastAsia="宋体"/>
          <w:iCs w:val="0"/>
          <w:lang w:val="en-US" w:eastAsia="zh-CN"/>
        </w:rPr>
        <w:t>the switch</w:t>
      </w:r>
      <w:r>
        <w:rPr>
          <w:rFonts w:eastAsia="宋体" w:hint="eastAsia"/>
          <w:iCs w:val="0"/>
          <w:lang w:val="en-US" w:eastAsia="zh-CN"/>
        </w:rPr>
        <w:t>ing</w:t>
      </w:r>
      <w:r>
        <w:rPr>
          <w:rFonts w:eastAsia="宋体" w:hint="eastAsia"/>
          <w:iCs w:val="0"/>
          <w:lang w:val="en-US" w:eastAsia="zh-CN"/>
        </w:rPr>
        <w:t xml:space="preserve"> between timing mode</w:t>
      </w:r>
      <w:r w:rsidR="000960A5">
        <w:rPr>
          <w:rFonts w:eastAsia="宋体"/>
          <w:iCs w:val="0"/>
          <w:lang w:val="en-US" w:eastAsia="zh-CN"/>
        </w:rPr>
        <w:t>s</w:t>
      </w:r>
      <w:r>
        <w:rPr>
          <w:rFonts w:cs="Times" w:hint="eastAsia"/>
          <w:lang w:val="en-US" w:eastAsia="zh-CN"/>
        </w:rPr>
        <w: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EA36FC" w:rsidRDefault="00841B19">
      <w:pPr>
        <w:widowControl w:val="0"/>
        <w:spacing w:before="120" w:after="120"/>
        <w:rPr>
          <w:iCs/>
          <w:sz w:val="20"/>
        </w:rPr>
      </w:pPr>
      <w:r>
        <w:rPr>
          <w:rFonts w:hint="eastAsia"/>
          <w:iCs/>
          <w:sz w:val="20"/>
        </w:rPr>
        <w:t xml:space="preserve">For the 4th FFS, </w:t>
      </w:r>
      <w:r>
        <w:rPr>
          <w:rFonts w:hint="eastAsia"/>
          <w:iCs/>
          <w:sz w:val="20"/>
        </w:rPr>
        <w:t>one intention</w:t>
      </w:r>
      <w:r>
        <w:rPr>
          <w:rFonts w:hint="eastAsia"/>
          <w:iCs/>
          <w:sz w:val="20"/>
        </w:rPr>
        <w:t xml:space="preserve"> is </w:t>
      </w:r>
      <w:r>
        <w:rPr>
          <w:rFonts w:hint="eastAsia"/>
          <w:iCs/>
          <w:sz w:val="20"/>
        </w:rPr>
        <w:t xml:space="preserve">to study </w:t>
      </w:r>
      <w:r>
        <w:rPr>
          <w:rFonts w:hint="eastAsia"/>
          <w:iCs/>
          <w:sz w:val="20"/>
        </w:rPr>
        <w:t>whether enhance</w:t>
      </w:r>
      <w:r>
        <w:rPr>
          <w:rFonts w:hint="eastAsia"/>
          <w:iCs/>
          <w:sz w:val="20"/>
        </w:rPr>
        <w:t>ment on</w:t>
      </w:r>
      <w:r>
        <w:rPr>
          <w:rFonts w:hint="eastAsia"/>
          <w:iCs/>
          <w:sz w:val="20"/>
        </w:rPr>
        <w:t xml:space="preserve"> TA and T_delta</w:t>
      </w:r>
      <w:r>
        <w:rPr>
          <w:rFonts w:hint="eastAsia"/>
          <w:iCs/>
          <w:sz w:val="20"/>
        </w:rPr>
        <w:t xml:space="preserve"> is needed</w:t>
      </w:r>
      <w:r>
        <w:rPr>
          <w:rFonts w:hint="eastAsia"/>
          <w:iCs/>
          <w:sz w:val="20"/>
        </w:rPr>
        <w:t xml:space="preserve">, </w:t>
      </w:r>
      <w:r>
        <w:rPr>
          <w:rFonts w:hint="eastAsia"/>
          <w:iCs/>
          <w:sz w:val="20"/>
        </w:rPr>
        <w:t>and</w:t>
      </w:r>
      <w:r>
        <w:rPr>
          <w:rFonts w:hint="eastAsia"/>
          <w:iCs/>
          <w:sz w:val="20"/>
        </w:rPr>
        <w:t xml:space="preserve"> </w:t>
      </w:r>
      <w:r>
        <w:rPr>
          <w:rFonts w:hint="eastAsia"/>
          <w:iCs/>
          <w:sz w:val="20"/>
        </w:rPr>
        <w:t xml:space="preserve">how to </w:t>
      </w:r>
      <w:r>
        <w:rPr>
          <w:rFonts w:hint="eastAsia"/>
          <w:iCs/>
          <w:sz w:val="20"/>
        </w:rPr>
        <w:t>determin</w:t>
      </w:r>
      <w:r>
        <w:rPr>
          <w:rFonts w:hint="eastAsia"/>
          <w:iCs/>
          <w:sz w:val="20"/>
        </w:rPr>
        <w:t>e</w:t>
      </w:r>
      <w:r>
        <w:rPr>
          <w:rFonts w:hint="eastAsia"/>
          <w:iCs/>
          <w:sz w:val="20"/>
        </w:rPr>
        <w:t xml:space="preserve"> DL-Tx timing and UL-Tx timing. Because case-1 timing and other timing cases</w:t>
      </w:r>
      <w:r>
        <w:rPr>
          <w:rFonts w:hint="eastAsia"/>
          <w:iCs/>
          <w:sz w:val="20"/>
        </w:rPr>
        <w:t xml:space="preserve"> may</w:t>
      </w:r>
      <w:r>
        <w:rPr>
          <w:rFonts w:hint="eastAsia"/>
          <w:iCs/>
          <w:sz w:val="20"/>
        </w:rPr>
        <w:t xml:space="preserve"> exist in a TDMed way, </w:t>
      </w:r>
      <w:r>
        <w:rPr>
          <w:rFonts w:hint="eastAsia"/>
          <w:iCs/>
          <w:sz w:val="20"/>
        </w:rPr>
        <w:t>and in</w:t>
      </w:r>
      <w:r>
        <w:rPr>
          <w:rFonts w:hint="eastAsia"/>
          <w:iCs/>
          <w:sz w:val="20"/>
        </w:rPr>
        <w:t xml:space="preserve"> </w:t>
      </w:r>
      <w:r>
        <w:rPr>
          <w:rFonts w:hint="eastAsia"/>
          <w:iCs/>
          <w:sz w:val="20"/>
        </w:rPr>
        <w:t>any other timing case</w:t>
      </w:r>
      <w:r>
        <w:rPr>
          <w:rFonts w:hint="eastAsia"/>
          <w:iCs/>
          <w:sz w:val="20"/>
        </w:rPr>
        <w:t>s,</w:t>
      </w:r>
      <w:r>
        <w:rPr>
          <w:rFonts w:hint="eastAsia"/>
          <w:iCs/>
          <w:sz w:val="20"/>
        </w:rPr>
        <w:t xml:space="preserve"> DL-Tx timing </w:t>
      </w:r>
      <w:r>
        <w:rPr>
          <w:rFonts w:hint="eastAsia"/>
          <w:iCs/>
          <w:sz w:val="20"/>
        </w:rPr>
        <w:t xml:space="preserve">can be </w:t>
      </w:r>
      <w:r>
        <w:rPr>
          <w:rFonts w:hint="eastAsia"/>
          <w:iCs/>
          <w:sz w:val="20"/>
        </w:rPr>
        <w:t>calculated based on Rel-16 OTA synchronization for case-1 timing, which indicates the TA and T_delta used in Rel-16 OTA synchronization does</w:t>
      </w:r>
      <w:r>
        <w:rPr>
          <w:rFonts w:hint="eastAsia"/>
          <w:iCs/>
          <w:sz w:val="20"/>
        </w:rPr>
        <w:t xml:space="preserve"> </w:t>
      </w:r>
      <w:r>
        <w:rPr>
          <w:rFonts w:hint="eastAsia"/>
          <w:iCs/>
          <w:sz w:val="20"/>
        </w:rPr>
        <w:t>n</w:t>
      </w:r>
      <w:r>
        <w:rPr>
          <w:rFonts w:hint="eastAsia"/>
          <w:iCs/>
          <w:sz w:val="20"/>
        </w:rPr>
        <w:t>o</w:t>
      </w:r>
      <w:r>
        <w:rPr>
          <w:rFonts w:hint="eastAsia"/>
          <w:iCs/>
          <w:sz w:val="20"/>
        </w:rPr>
        <w:t>t need any enhancement. However, for case-6 timing, we still need to</w:t>
      </w:r>
      <w:r>
        <w:rPr>
          <w:rFonts w:hint="eastAsia"/>
          <w:iCs/>
          <w:sz w:val="20"/>
        </w:rPr>
        <w:t xml:space="preserve"> determine UL-Tx timing. We </w:t>
      </w:r>
      <w:r>
        <w:rPr>
          <w:rFonts w:hint="eastAsia"/>
          <w:iCs/>
          <w:sz w:val="20"/>
        </w:rPr>
        <w:t xml:space="preserve">believe </w:t>
      </w:r>
      <w:r>
        <w:rPr>
          <w:rFonts w:hint="eastAsia"/>
          <w:iCs/>
          <w:sz w:val="20"/>
        </w:rPr>
        <w:t xml:space="preserve">normal TA mechanism </w:t>
      </w:r>
      <w:r>
        <w:rPr>
          <w:rFonts w:hint="eastAsia"/>
          <w:iCs/>
          <w:sz w:val="20"/>
        </w:rPr>
        <w:t>for case-1 timing can be</w:t>
      </w:r>
      <w:r>
        <w:rPr>
          <w:rFonts w:hint="eastAsia"/>
          <w:iCs/>
          <w:sz w:val="20"/>
        </w:rPr>
        <w:t xml:space="preserve"> used for UL-Tx timing </w:t>
      </w:r>
      <w:r>
        <w:rPr>
          <w:rFonts w:hint="eastAsia"/>
          <w:iCs/>
          <w:sz w:val="20"/>
        </w:rPr>
        <w:t>for case-6, in this case,</w:t>
      </w:r>
      <w:r>
        <w:rPr>
          <w:rFonts w:hint="eastAsia"/>
          <w:iCs/>
          <w:sz w:val="20"/>
        </w:rPr>
        <w:t xml:space="preserve"> DL-Tx timing is used for UL-Tx timing when IAB-node operate with case-6 timing. After DL-Tx timing and UL-Tx timing are determined, the remaining</w:t>
      </w:r>
      <w:r>
        <w:rPr>
          <w:rFonts w:hint="eastAsia"/>
          <w:iCs/>
          <w:sz w:val="20"/>
        </w:rPr>
        <w:t xml:space="preserve"> issue</w:t>
      </w:r>
      <w:r>
        <w:rPr>
          <w:rFonts w:hint="eastAsia"/>
          <w:iCs/>
          <w:sz w:val="20"/>
        </w:rPr>
        <w:t xml:space="preserve"> is the parent</w:t>
      </w:r>
      <w:r>
        <w:rPr>
          <w:sz w:val="20"/>
        </w:rPr>
        <w:t>’</w:t>
      </w:r>
      <w:r>
        <w:rPr>
          <w:rFonts w:hint="eastAsia"/>
          <w:iCs/>
          <w:sz w:val="20"/>
        </w:rPr>
        <w:t>s switching between timing mode</w:t>
      </w:r>
      <w:r w:rsidR="000960A5">
        <w:rPr>
          <w:iCs/>
          <w:sz w:val="20"/>
        </w:rPr>
        <w:t>s</w:t>
      </w:r>
      <w:r>
        <w:rPr>
          <w:rFonts w:hint="eastAsia"/>
          <w:iCs/>
          <w:sz w:val="20"/>
        </w:rPr>
        <w:t>. We think that the switching itself does not affect Rel-1</w:t>
      </w:r>
      <w:r>
        <w:rPr>
          <w:rFonts w:hint="eastAsia"/>
          <w:iCs/>
          <w:sz w:val="20"/>
        </w:rPr>
        <w:t>6 OTA synchronization, so there is no need to enhance Rel-16 OTA synchronization.</w:t>
      </w:r>
    </w:p>
    <w:p w:rsidR="00EA36FC" w:rsidRDefault="00841B19">
      <w:pPr>
        <w:pStyle w:val="YJ-Proposal"/>
        <w:widowControl w:val="0"/>
        <w:spacing w:before="120" w:after="120"/>
        <w:rPr>
          <w:rFonts w:cs="Times"/>
          <w:lang w:val="en-US" w:eastAsia="zh-CN"/>
        </w:rPr>
      </w:pPr>
      <w:bookmarkStart w:id="115" w:name="_Toc21883"/>
      <w:bookmarkStart w:id="116" w:name="_Toc13648"/>
      <w:bookmarkStart w:id="117" w:name="_Toc26436"/>
      <w:bookmarkStart w:id="118" w:name="_Toc25344"/>
      <w:bookmarkStart w:id="119" w:name="_Toc17067"/>
      <w:bookmarkStart w:id="120" w:name="_Toc28596"/>
      <w:bookmarkStart w:id="121" w:name="_Toc26275"/>
      <w:bookmarkStart w:id="122" w:name="_Toc1379"/>
      <w:bookmarkStart w:id="123" w:name="_Toc19785"/>
      <w:bookmarkStart w:id="124" w:name="_Toc27015"/>
      <w:bookmarkStart w:id="125" w:name="_Toc32493"/>
      <w:bookmarkStart w:id="126" w:name="_Toc21568"/>
      <w:bookmarkStart w:id="127" w:name="_Toc1910"/>
      <w:bookmarkStart w:id="128" w:name="_Toc26523"/>
      <w:bookmarkStart w:id="129" w:name="_Toc18047"/>
      <w:bookmarkStart w:id="130" w:name="_Toc32081"/>
      <w:bookmarkStart w:id="131" w:name="_Toc32572"/>
      <w:bookmarkStart w:id="132" w:name="_Toc15478"/>
      <w:bookmarkStart w:id="133" w:name="_Toc4633"/>
      <w:bookmarkStart w:id="134" w:name="_Toc21389"/>
      <w:bookmarkStart w:id="135" w:name="_Toc71712007"/>
      <w:r>
        <w:rPr>
          <w:rFonts w:cs="Times" w:hint="eastAsia"/>
          <w:lang w:val="en-US" w:eastAsia="zh-CN"/>
        </w:rPr>
        <w:t>I</w:t>
      </w:r>
      <w:r>
        <w:rPr>
          <w:rFonts w:cs="Times"/>
          <w:lang w:val="en-US" w:eastAsia="zh-CN"/>
        </w:rPr>
        <w:t xml:space="preserve">t does not need </w:t>
      </w:r>
      <w:r>
        <w:rPr>
          <w:rFonts w:cs="Times" w:hint="eastAsia"/>
          <w:lang w:val="en-US" w:eastAsia="zh-CN"/>
        </w:rPr>
        <w:t xml:space="preserve">to enhance Rel-16 OTA synchronization </w:t>
      </w:r>
      <w:r>
        <w:rPr>
          <w:rFonts w:cs="Times"/>
          <w:lang w:val="en-US" w:eastAsia="zh-CN"/>
        </w:rPr>
        <w:t>to support switching timing modes</w:t>
      </w:r>
      <w:r>
        <w:rPr>
          <w:rFonts w:cs="Times" w:hint="eastAsia"/>
          <w:lang w:val="en-US" w:eastAsia="zh-CN"/>
        </w:rPr>
        <w:t>.</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A36FC" w:rsidRDefault="00841B19">
      <w:pPr>
        <w:widowControl w:val="0"/>
        <w:spacing w:before="120" w:after="120"/>
      </w:pPr>
      <w:r>
        <w:rPr>
          <w:rFonts w:hint="eastAsia"/>
          <w:iCs/>
          <w:sz w:val="20"/>
        </w:rPr>
        <w:t>Regarding</w:t>
      </w:r>
      <w:r>
        <w:rPr>
          <w:rFonts w:hint="eastAsia"/>
          <w:iCs/>
          <w:sz w:val="20"/>
        </w:rPr>
        <w:t xml:space="preserve"> switching </w:t>
      </w:r>
      <w:r>
        <w:rPr>
          <w:rFonts w:hint="eastAsia"/>
          <w:iCs/>
          <w:sz w:val="20"/>
        </w:rPr>
        <w:t>between</w:t>
      </w:r>
      <w:r>
        <w:rPr>
          <w:rFonts w:hint="eastAsia"/>
          <w:iCs/>
          <w:sz w:val="20"/>
        </w:rPr>
        <w:t xml:space="preserve"> timing mode</w:t>
      </w:r>
      <w:r w:rsidR="000960A5">
        <w:rPr>
          <w:iCs/>
          <w:sz w:val="20"/>
        </w:rPr>
        <w:t>s</w:t>
      </w:r>
      <w:r>
        <w:rPr>
          <w:rFonts w:hint="eastAsia"/>
          <w:iCs/>
          <w:sz w:val="20"/>
        </w:rPr>
        <w:t>, whether it is dynamic or semi-static switch</w:t>
      </w:r>
      <w:r>
        <w:rPr>
          <w:rFonts w:hint="eastAsia"/>
          <w:iCs/>
          <w:sz w:val="20"/>
        </w:rPr>
        <w:t>ing</w:t>
      </w:r>
      <w:r>
        <w:rPr>
          <w:rFonts w:hint="eastAsia"/>
          <w:iCs/>
          <w:sz w:val="20"/>
        </w:rPr>
        <w:t xml:space="preserve"> should be clarified</w:t>
      </w:r>
      <w:r>
        <w:rPr>
          <w:rFonts w:hint="eastAsia"/>
          <w:iCs/>
          <w:sz w:val="20"/>
        </w:rPr>
        <w:t xml:space="preserve">. If timing mode is associated with multiplexing mode, </w:t>
      </w:r>
      <w:r>
        <w:rPr>
          <w:rFonts w:hint="eastAsia"/>
          <w:iCs/>
          <w:sz w:val="20"/>
        </w:rPr>
        <w:t>considering that</w:t>
      </w:r>
      <w:r>
        <w:rPr>
          <w:rFonts w:hint="eastAsia"/>
          <w:iCs/>
          <w:sz w:val="20"/>
        </w:rPr>
        <w:t xml:space="preserve"> dynamic UFD </w:t>
      </w:r>
      <w:r>
        <w:rPr>
          <w:rFonts w:hint="eastAsia"/>
          <w:iCs/>
          <w:sz w:val="20"/>
        </w:rPr>
        <w:t>and</w:t>
      </w:r>
      <w:r>
        <w:rPr>
          <w:rFonts w:hint="eastAsia"/>
          <w:iCs/>
          <w:sz w:val="20"/>
        </w:rPr>
        <w:t xml:space="preserve"> DFU resource configuration</w:t>
      </w:r>
      <w:r>
        <w:rPr>
          <w:rFonts w:hint="eastAsia"/>
          <w:iCs/>
          <w:sz w:val="20"/>
        </w:rPr>
        <w:t xml:space="preserve"> have been supported in IAB </w:t>
      </w:r>
      <w:r>
        <w:rPr>
          <w:rFonts w:hint="eastAsia"/>
          <w:iCs/>
          <w:sz w:val="20"/>
        </w:rPr>
        <w:t>to support potential simultan</w:t>
      </w:r>
      <w:r>
        <w:rPr>
          <w:rFonts w:hint="eastAsia"/>
          <w:iCs/>
          <w:sz w:val="20"/>
        </w:rPr>
        <w:t>e</w:t>
      </w:r>
      <w:r>
        <w:rPr>
          <w:rFonts w:hint="eastAsia"/>
          <w:iCs/>
          <w:sz w:val="20"/>
        </w:rPr>
        <w:t xml:space="preserve">ous operation, timing mode should be switched dynamically </w:t>
      </w:r>
      <w:r>
        <w:rPr>
          <w:rFonts w:hint="eastAsia"/>
          <w:iCs/>
          <w:sz w:val="20"/>
        </w:rPr>
        <w:t>acc</w:t>
      </w:r>
      <w:r>
        <w:rPr>
          <w:rFonts w:hint="eastAsia"/>
          <w:iCs/>
          <w:sz w:val="20"/>
        </w:rPr>
        <w:t>ording to</w:t>
      </w:r>
      <w:r>
        <w:rPr>
          <w:rFonts w:hint="eastAsia"/>
          <w:iCs/>
          <w:sz w:val="20"/>
        </w:rPr>
        <w:t xml:space="preserve"> the actual use of dynamic UFD </w:t>
      </w:r>
      <w:r>
        <w:rPr>
          <w:rFonts w:hint="eastAsia"/>
          <w:iCs/>
          <w:sz w:val="20"/>
        </w:rPr>
        <w:t xml:space="preserve">or </w:t>
      </w:r>
      <w:r>
        <w:rPr>
          <w:rFonts w:hint="eastAsia"/>
          <w:iCs/>
          <w:sz w:val="20"/>
        </w:rPr>
        <w:t>DFU, and semi</w:t>
      </w:r>
      <w:r>
        <w:rPr>
          <w:rFonts w:hint="eastAsia"/>
          <w:iCs/>
          <w:sz w:val="20"/>
        </w:rPr>
        <w:t>-</w:t>
      </w:r>
      <w:r>
        <w:rPr>
          <w:rFonts w:hint="eastAsia"/>
          <w:iCs/>
          <w:sz w:val="20"/>
        </w:rPr>
        <w:t>statically with the actual use of semi</w:t>
      </w:r>
      <w:r>
        <w:rPr>
          <w:rFonts w:hint="eastAsia"/>
          <w:iCs/>
          <w:sz w:val="20"/>
        </w:rPr>
        <w:t>-</w:t>
      </w:r>
      <w:r>
        <w:rPr>
          <w:rFonts w:hint="eastAsia"/>
          <w:iCs/>
          <w:sz w:val="20"/>
        </w:rPr>
        <w:t xml:space="preserve">statically configured UFD </w:t>
      </w:r>
      <w:r>
        <w:rPr>
          <w:rFonts w:hint="eastAsia"/>
          <w:iCs/>
          <w:sz w:val="20"/>
        </w:rPr>
        <w:t>or</w:t>
      </w:r>
      <w:r>
        <w:rPr>
          <w:rFonts w:hint="eastAsia"/>
          <w:iCs/>
          <w:sz w:val="20"/>
        </w:rPr>
        <w:t xml:space="preserve"> DFU. If</w:t>
      </w:r>
      <w:r>
        <w:rPr>
          <w:rFonts w:hint="eastAsia"/>
          <w:iCs/>
          <w:sz w:val="20"/>
        </w:rPr>
        <w:t xml:space="preserve"> </w:t>
      </w:r>
      <w:r>
        <w:rPr>
          <w:rFonts w:hint="eastAsia"/>
          <w:iCs/>
          <w:sz w:val="20"/>
        </w:rPr>
        <w:t>timing mode and multiplexing mode</w:t>
      </w:r>
      <w:r>
        <w:rPr>
          <w:rFonts w:hint="eastAsia"/>
          <w:iCs/>
          <w:sz w:val="20"/>
        </w:rPr>
        <w:t xml:space="preserve"> are not bound together</w:t>
      </w:r>
      <w:r>
        <w:rPr>
          <w:rFonts w:hint="eastAsia"/>
          <w:iCs/>
          <w:sz w:val="20"/>
        </w:rPr>
        <w:t>, the switching initiative should be left to the parent. In order t</w:t>
      </w:r>
      <w:r>
        <w:rPr>
          <w:rFonts w:hint="eastAsia"/>
          <w:iCs/>
          <w:sz w:val="20"/>
        </w:rPr>
        <w:t xml:space="preserve">o </w:t>
      </w:r>
      <w:r>
        <w:rPr>
          <w:rFonts w:hint="eastAsia"/>
          <w:iCs/>
          <w:sz w:val="20"/>
        </w:rPr>
        <w:t>enable</w:t>
      </w:r>
      <w:r>
        <w:rPr>
          <w:rFonts w:hint="eastAsia"/>
          <w:iCs/>
          <w:sz w:val="20"/>
        </w:rPr>
        <w:t xml:space="preserve"> flexible switching between timing modes, we prefer to switch </w:t>
      </w:r>
      <w:r>
        <w:rPr>
          <w:rFonts w:hint="eastAsia"/>
          <w:iCs/>
          <w:sz w:val="20"/>
        </w:rPr>
        <w:t xml:space="preserve">timing mode </w:t>
      </w:r>
      <w:r>
        <w:rPr>
          <w:rFonts w:hint="eastAsia"/>
          <w:iCs/>
          <w:sz w:val="20"/>
        </w:rPr>
        <w:t>in a dynamic way</w:t>
      </w:r>
      <w:r>
        <w:rPr>
          <w:rFonts w:hint="eastAsia"/>
          <w:iCs/>
          <w:sz w:val="20"/>
        </w:rPr>
        <w:t>, e.g</w:t>
      </w:r>
      <w:r w:rsidR="000960A5">
        <w:rPr>
          <w:iCs/>
          <w:sz w:val="20"/>
        </w:rPr>
        <w:t>.</w:t>
      </w:r>
      <w:r w:rsidR="000960A5">
        <w:rPr>
          <w:rFonts w:hint="eastAsia"/>
          <w:iCs/>
          <w:sz w:val="20"/>
        </w:rPr>
        <w:t>,</w:t>
      </w:r>
      <w:r w:rsidR="000960A5">
        <w:rPr>
          <w:iCs/>
          <w:sz w:val="20"/>
        </w:rPr>
        <w:t xml:space="preserve"> </w:t>
      </w:r>
      <w:r>
        <w:rPr>
          <w:rFonts w:hint="eastAsia"/>
          <w:iCs/>
          <w:sz w:val="20"/>
        </w:rPr>
        <w:t>to indicate the information for switching via DCI together with resource allocation information</w:t>
      </w:r>
      <w:r>
        <w:rPr>
          <w:rFonts w:hint="eastAsia"/>
          <w:iCs/>
          <w:sz w:val="20"/>
        </w:rPr>
        <w:t>.</w:t>
      </w:r>
    </w:p>
    <w:p w:rsidR="00EA36FC" w:rsidRDefault="00841B19">
      <w:pPr>
        <w:pStyle w:val="YJ-Proposal"/>
        <w:widowControl w:val="0"/>
        <w:spacing w:before="120" w:after="120"/>
        <w:rPr>
          <w:rFonts w:cs="Times"/>
          <w:lang w:val="en-US" w:eastAsia="zh-CN"/>
        </w:rPr>
      </w:pPr>
      <w:bookmarkStart w:id="136" w:name="_Toc22919"/>
      <w:bookmarkStart w:id="137" w:name="_Toc22676"/>
      <w:bookmarkStart w:id="138" w:name="_Toc22971"/>
      <w:bookmarkStart w:id="139" w:name="_Toc24528"/>
      <w:bookmarkStart w:id="140" w:name="_Toc8154"/>
      <w:bookmarkStart w:id="141" w:name="_Toc14523"/>
      <w:bookmarkStart w:id="142" w:name="_Toc25889"/>
      <w:bookmarkStart w:id="143" w:name="_Toc1862"/>
      <w:bookmarkStart w:id="144" w:name="_Toc26509"/>
      <w:bookmarkStart w:id="145" w:name="_Toc836"/>
      <w:bookmarkStart w:id="146" w:name="_Toc10613"/>
      <w:bookmarkStart w:id="147" w:name="_Toc7843"/>
      <w:bookmarkStart w:id="148" w:name="_Toc25486"/>
      <w:bookmarkStart w:id="149" w:name="_Toc908"/>
      <w:bookmarkStart w:id="150" w:name="_Toc21154"/>
      <w:bookmarkStart w:id="151" w:name="_Toc20066"/>
      <w:bookmarkStart w:id="152" w:name="_Toc23691"/>
      <w:bookmarkStart w:id="153" w:name="_Toc19614"/>
      <w:bookmarkStart w:id="154" w:name="_Toc2203"/>
      <w:bookmarkStart w:id="155" w:name="_Toc23983"/>
      <w:bookmarkStart w:id="156" w:name="_Toc71712008"/>
      <w:r>
        <w:rPr>
          <w:rFonts w:cs="Times" w:hint="eastAsia"/>
          <w:lang w:val="en-US" w:eastAsia="zh-CN"/>
        </w:rPr>
        <w:t xml:space="preserve">To support switching between timing mode in a </w:t>
      </w:r>
      <w:r>
        <w:rPr>
          <w:rFonts w:cs="Times" w:hint="eastAsia"/>
          <w:lang w:val="en-US" w:eastAsia="zh-CN"/>
        </w:rPr>
        <w:t>dynamic way</w:t>
      </w:r>
      <w:r>
        <w:rPr>
          <w:rFonts w:cs="Times" w:hint="eastAsia"/>
          <w:lang w:val="en-US" w:eastAsia="zh-CN"/>
        </w:rPr>
        <w:t xml:space="preserve">, e.g., to </w:t>
      </w:r>
      <w:r>
        <w:rPr>
          <w:rFonts w:hint="eastAsia"/>
          <w:lang w:val="en-US" w:eastAsia="zh-CN"/>
        </w:rPr>
        <w:t>indicate the information for switching via DCI together with resource allocation information</w:t>
      </w:r>
      <w:r>
        <w:rPr>
          <w:rFonts w:cs="Times" w:hint="eastAsia"/>
          <w:lang w:val="en-US" w:eastAsia="zh-CN"/>
        </w:rPr>
        <w: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EA36FC" w:rsidRDefault="00841B19">
      <w:pPr>
        <w:widowControl w:val="0"/>
        <w:spacing w:before="120" w:after="120"/>
        <w:rPr>
          <w:iCs/>
          <w:sz w:val="20"/>
        </w:rPr>
      </w:pPr>
      <w:r>
        <w:rPr>
          <w:rFonts w:hint="eastAsia"/>
          <w:iCs/>
          <w:sz w:val="20"/>
        </w:rPr>
        <w:t>In addition</w:t>
      </w:r>
      <w:r>
        <w:rPr>
          <w:rFonts w:hint="eastAsia"/>
          <w:iCs/>
          <w:sz w:val="20"/>
        </w:rPr>
        <w:t>, we will focus on IAB</w:t>
      </w:r>
      <w:r>
        <w:rPr>
          <w:rFonts w:hint="eastAsia"/>
          <w:iCs/>
          <w:sz w:val="20"/>
        </w:rPr>
        <w:t>-</w:t>
      </w:r>
      <w:r>
        <w:rPr>
          <w:rFonts w:hint="eastAsia"/>
          <w:iCs/>
          <w:sz w:val="20"/>
        </w:rPr>
        <w:t>MT T</w:t>
      </w:r>
      <w:r>
        <w:rPr>
          <w:rFonts w:hint="eastAsia"/>
          <w:iCs/>
          <w:sz w:val="20"/>
        </w:rPr>
        <w:t>x</w:t>
      </w:r>
      <w:r>
        <w:rPr>
          <w:rFonts w:hint="eastAsia"/>
          <w:iCs/>
          <w:sz w:val="20"/>
        </w:rPr>
        <w:t xml:space="preserve"> timing of case-6 and case-7 timing. For case-6 timing, </w:t>
      </w:r>
      <w:r>
        <w:rPr>
          <w:rFonts w:hint="eastAsia"/>
          <w:iCs/>
          <w:sz w:val="20"/>
        </w:rPr>
        <w:t>as definition</w:t>
      </w:r>
      <w:r>
        <w:rPr>
          <w:rFonts w:hint="eastAsia"/>
          <w:iCs/>
          <w:sz w:val="20"/>
        </w:rPr>
        <w:t xml:space="preserve"> </w:t>
      </w:r>
      <w:r>
        <w:rPr>
          <w:rFonts w:hint="eastAsia"/>
          <w:iCs/>
          <w:sz w:val="20"/>
        </w:rPr>
        <w:t xml:space="preserve">of case-6 timing, </w:t>
      </w:r>
      <w:r>
        <w:rPr>
          <w:rFonts w:hint="eastAsia"/>
          <w:iCs/>
          <w:sz w:val="20"/>
        </w:rPr>
        <w:t>it is necessa</w:t>
      </w:r>
      <w:r>
        <w:rPr>
          <w:rFonts w:hint="eastAsia"/>
          <w:iCs/>
          <w:sz w:val="20"/>
        </w:rPr>
        <w:t>ry to ensure that the IAB</w:t>
      </w:r>
      <w:r>
        <w:rPr>
          <w:rFonts w:hint="eastAsia"/>
          <w:iCs/>
          <w:sz w:val="20"/>
        </w:rPr>
        <w:t>-</w:t>
      </w:r>
      <w:r>
        <w:rPr>
          <w:rFonts w:hint="eastAsia"/>
          <w:iCs/>
          <w:sz w:val="20"/>
        </w:rPr>
        <w:t>MT T</w:t>
      </w:r>
      <w:r>
        <w:rPr>
          <w:rFonts w:hint="eastAsia"/>
          <w:iCs/>
          <w:sz w:val="20"/>
        </w:rPr>
        <w:t>x</w:t>
      </w:r>
      <w:r>
        <w:rPr>
          <w:rFonts w:hint="eastAsia"/>
          <w:iCs/>
          <w:sz w:val="20"/>
        </w:rPr>
        <w:t xml:space="preserve"> timing is aligned to </w:t>
      </w:r>
      <w:r>
        <w:rPr>
          <w:rFonts w:hint="eastAsia"/>
          <w:iCs/>
          <w:sz w:val="20"/>
        </w:rPr>
        <w:t xml:space="preserve">IAB-DU </w:t>
      </w:r>
      <w:r>
        <w:rPr>
          <w:rFonts w:hint="eastAsia"/>
          <w:iCs/>
          <w:sz w:val="20"/>
        </w:rPr>
        <w:t>T</w:t>
      </w:r>
      <w:r>
        <w:rPr>
          <w:rFonts w:hint="eastAsia"/>
          <w:iCs/>
          <w:sz w:val="20"/>
        </w:rPr>
        <w:t>x</w:t>
      </w:r>
      <w:r>
        <w:rPr>
          <w:rFonts w:hint="eastAsia"/>
          <w:iCs/>
          <w:sz w:val="20"/>
        </w:rPr>
        <w:t xml:space="preserve"> timing. </w:t>
      </w:r>
      <w:r>
        <w:rPr>
          <w:rFonts w:hint="eastAsia"/>
          <w:iCs/>
          <w:sz w:val="20"/>
        </w:rPr>
        <w:t xml:space="preserve">Thus, </w:t>
      </w:r>
      <w:r>
        <w:rPr>
          <w:rFonts w:hint="eastAsia"/>
          <w:iCs/>
          <w:sz w:val="20"/>
        </w:rPr>
        <w:t>IAB</w:t>
      </w:r>
      <w:r>
        <w:rPr>
          <w:rFonts w:hint="eastAsia"/>
          <w:iCs/>
          <w:sz w:val="20"/>
        </w:rPr>
        <w:t>-</w:t>
      </w:r>
      <w:r>
        <w:rPr>
          <w:rFonts w:hint="eastAsia"/>
          <w:iCs/>
          <w:sz w:val="20"/>
        </w:rPr>
        <w:t>MT T</w:t>
      </w:r>
      <w:r>
        <w:rPr>
          <w:rFonts w:hint="eastAsia"/>
          <w:iCs/>
          <w:sz w:val="20"/>
        </w:rPr>
        <w:t>x</w:t>
      </w:r>
      <w:r>
        <w:rPr>
          <w:rFonts w:hint="eastAsia"/>
          <w:iCs/>
          <w:sz w:val="20"/>
        </w:rPr>
        <w:t xml:space="preserve"> timing</w:t>
      </w:r>
      <w:r>
        <w:rPr>
          <w:rFonts w:hint="eastAsia"/>
          <w:iCs/>
          <w:sz w:val="20"/>
        </w:rPr>
        <w:t xml:space="preserve"> is directly locked</w:t>
      </w:r>
      <w:r>
        <w:rPr>
          <w:rFonts w:hint="eastAsia"/>
          <w:iCs/>
          <w:sz w:val="20"/>
        </w:rPr>
        <w:t xml:space="preserve"> to </w:t>
      </w:r>
      <w:r>
        <w:rPr>
          <w:rFonts w:hint="eastAsia"/>
          <w:iCs/>
          <w:sz w:val="20"/>
        </w:rPr>
        <w:t xml:space="preserve">IAB-DU </w:t>
      </w:r>
      <w:r>
        <w:rPr>
          <w:rFonts w:hint="eastAsia"/>
          <w:iCs/>
          <w:sz w:val="20"/>
        </w:rPr>
        <w:t>T</w:t>
      </w:r>
      <w:r>
        <w:rPr>
          <w:rFonts w:hint="eastAsia"/>
          <w:iCs/>
          <w:sz w:val="20"/>
        </w:rPr>
        <w:t>x</w:t>
      </w:r>
      <w:r>
        <w:rPr>
          <w:rFonts w:hint="eastAsia"/>
          <w:iCs/>
          <w:sz w:val="20"/>
        </w:rPr>
        <w:t xml:space="preserve"> timing in a more direct way</w:t>
      </w:r>
      <w:r>
        <w:rPr>
          <w:rFonts w:hint="eastAsia"/>
          <w:iCs/>
          <w:sz w:val="20"/>
        </w:rPr>
        <w:t xml:space="preserve"> in case of case-6 timing</w:t>
      </w:r>
    </w:p>
    <w:p w:rsidR="00EA36FC" w:rsidRDefault="00841B19">
      <w:pPr>
        <w:pStyle w:val="YJ-Proposal"/>
        <w:widowControl w:val="0"/>
        <w:spacing w:before="120" w:after="120"/>
        <w:rPr>
          <w:rFonts w:cs="Times"/>
          <w:lang w:val="en-US" w:eastAsia="zh-CN"/>
        </w:rPr>
      </w:pPr>
      <w:bookmarkStart w:id="157" w:name="_Toc6303"/>
      <w:bookmarkStart w:id="158" w:name="_Toc4566"/>
      <w:bookmarkStart w:id="159" w:name="_Toc21951"/>
      <w:bookmarkStart w:id="160" w:name="_Toc28436"/>
      <w:bookmarkStart w:id="161" w:name="_Toc11023"/>
      <w:bookmarkStart w:id="162" w:name="_Toc11692"/>
      <w:bookmarkStart w:id="163" w:name="_Toc29762"/>
      <w:bookmarkStart w:id="164" w:name="_Toc28486"/>
      <w:bookmarkStart w:id="165" w:name="_Toc30988"/>
      <w:bookmarkStart w:id="166" w:name="_Toc18765"/>
      <w:bookmarkStart w:id="167" w:name="_Toc3108"/>
      <w:bookmarkStart w:id="168" w:name="_Toc1636"/>
      <w:bookmarkStart w:id="169" w:name="_Toc19006"/>
      <w:bookmarkStart w:id="170" w:name="_Toc14759"/>
      <w:bookmarkStart w:id="171" w:name="_Toc12574"/>
      <w:bookmarkStart w:id="172" w:name="_Toc17493"/>
      <w:bookmarkStart w:id="173" w:name="_Toc29157"/>
      <w:bookmarkStart w:id="174" w:name="_Toc5169"/>
      <w:bookmarkStart w:id="175" w:name="_Toc16932"/>
      <w:bookmarkStart w:id="176" w:name="_Toc31430"/>
      <w:bookmarkStart w:id="177" w:name="_Toc71712009"/>
      <w:r>
        <w:rPr>
          <w:rFonts w:cs="Times"/>
          <w:lang w:val="en-US" w:eastAsia="zh-CN"/>
        </w:rPr>
        <w:t xml:space="preserve">IAB-MT Tx timing </w:t>
      </w:r>
      <w:r>
        <w:rPr>
          <w:rFonts w:cs="Times" w:hint="eastAsia"/>
          <w:lang w:val="en-US" w:eastAsia="zh-CN"/>
        </w:rPr>
        <w:t xml:space="preserve">of </w:t>
      </w:r>
      <w:r>
        <w:rPr>
          <w:rFonts w:cs="Times" w:hint="eastAsia"/>
          <w:lang w:val="en-US" w:eastAsia="zh-CN"/>
        </w:rPr>
        <w:t>case-6 timing</w:t>
      </w:r>
      <w:r>
        <w:rPr>
          <w:rFonts w:cs="Times"/>
          <w:lang w:val="en-US" w:eastAsia="zh-CN"/>
        </w:rPr>
        <w:t xml:space="preserve"> is </w:t>
      </w:r>
      <w:r>
        <w:rPr>
          <w:rFonts w:cs="Times" w:hint="eastAsia"/>
          <w:lang w:val="en-US" w:eastAsia="zh-CN"/>
        </w:rPr>
        <w:t xml:space="preserve">directly locked to </w:t>
      </w:r>
      <w:r>
        <w:rPr>
          <w:rFonts w:cs="Times"/>
          <w:lang w:val="en-US" w:eastAsia="zh-CN"/>
        </w:rPr>
        <w:t>the IAB-DU Tx timing</w:t>
      </w:r>
      <w:r>
        <w:rPr>
          <w:rFonts w:cs="Times" w:hint="eastAsia"/>
          <w:lang w:val="en-US" w:eastAsia="zh-CN"/>
        </w:rPr>
        <w:t xml:space="preserve"> </w:t>
      </w:r>
      <w:r>
        <w:rPr>
          <w:rFonts w:cs="Times" w:hint="eastAsia"/>
          <w:lang w:val="en-US" w:eastAsia="zh-CN"/>
        </w:rPr>
        <w:t>in case of</w:t>
      </w:r>
      <w:r>
        <w:rPr>
          <w:rFonts w:hint="eastAsia"/>
          <w:lang w:val="en-US" w:eastAsia="zh-CN"/>
        </w:rPr>
        <w:t xml:space="preserve"> case-6 timing</w:t>
      </w:r>
      <w:r>
        <w:rPr>
          <w:rFonts w:cs="Times" w:hint="eastAsia"/>
          <w:lang w:val="en-US" w:eastAsia="zh-CN"/>
        </w:rPr>
        <w: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EA36FC" w:rsidRDefault="00841B19">
      <w:pPr>
        <w:widowControl w:val="0"/>
        <w:spacing w:before="120" w:after="120"/>
        <w:rPr>
          <w:iCs/>
          <w:sz w:val="20"/>
        </w:rPr>
      </w:pPr>
      <w:r>
        <w:rPr>
          <w:rFonts w:hint="eastAsia"/>
          <w:iCs/>
          <w:sz w:val="20"/>
        </w:rPr>
        <w:t xml:space="preserve">For case-7 timing, </w:t>
      </w:r>
      <w:r>
        <w:rPr>
          <w:rFonts w:hint="eastAsia"/>
          <w:iCs/>
          <w:sz w:val="20"/>
        </w:rPr>
        <w:t xml:space="preserve">to reduce the standard effort, a simple way is that </w:t>
      </w:r>
      <w:r>
        <w:rPr>
          <w:rFonts w:hint="eastAsia"/>
          <w:iCs/>
          <w:sz w:val="20"/>
        </w:rPr>
        <w:t>IAB</w:t>
      </w:r>
      <w:r>
        <w:rPr>
          <w:rFonts w:hint="eastAsia"/>
          <w:iCs/>
          <w:sz w:val="20"/>
        </w:rPr>
        <w:t>-</w:t>
      </w:r>
      <w:r>
        <w:rPr>
          <w:rFonts w:hint="eastAsia"/>
          <w:iCs/>
          <w:sz w:val="20"/>
        </w:rPr>
        <w:t>MT T</w:t>
      </w:r>
      <w:r>
        <w:rPr>
          <w:rFonts w:hint="eastAsia"/>
          <w:iCs/>
          <w:sz w:val="20"/>
        </w:rPr>
        <w:t>x</w:t>
      </w:r>
      <w:r>
        <w:rPr>
          <w:rFonts w:hint="eastAsia"/>
          <w:iCs/>
          <w:sz w:val="20"/>
        </w:rPr>
        <w:t xml:space="preserve"> timing of case-7 timing</w:t>
      </w:r>
      <w:r>
        <w:rPr>
          <w:rFonts w:hint="eastAsia"/>
          <w:iCs/>
          <w:sz w:val="20"/>
        </w:rPr>
        <w:t xml:space="preserve"> can be based on </w:t>
      </w:r>
      <w:r>
        <w:rPr>
          <w:rFonts w:hint="eastAsia"/>
          <w:iCs/>
          <w:sz w:val="20"/>
        </w:rPr>
        <w:t>IAB</w:t>
      </w:r>
      <w:r>
        <w:rPr>
          <w:rFonts w:hint="eastAsia"/>
          <w:iCs/>
          <w:sz w:val="20"/>
        </w:rPr>
        <w:t>-</w:t>
      </w:r>
      <w:r>
        <w:rPr>
          <w:rFonts w:hint="eastAsia"/>
          <w:iCs/>
          <w:sz w:val="20"/>
        </w:rPr>
        <w:t>MT T</w:t>
      </w:r>
      <w:r>
        <w:rPr>
          <w:rFonts w:hint="eastAsia"/>
          <w:iCs/>
          <w:sz w:val="20"/>
        </w:rPr>
        <w:t>x</w:t>
      </w:r>
      <w:r>
        <w:rPr>
          <w:rFonts w:hint="eastAsia"/>
          <w:iCs/>
          <w:sz w:val="20"/>
        </w:rPr>
        <w:t xml:space="preserve"> timing of case-</w:t>
      </w:r>
      <w:r>
        <w:rPr>
          <w:rFonts w:hint="eastAsia"/>
          <w:iCs/>
          <w:sz w:val="20"/>
        </w:rPr>
        <w:t>1 plus an offset, i.e., this way do not impact the mechanism for TA adjustment.</w:t>
      </w:r>
    </w:p>
    <w:p w:rsidR="00EA36FC" w:rsidRDefault="00841B19">
      <w:pPr>
        <w:pStyle w:val="YJ-Proposal"/>
        <w:widowControl w:val="0"/>
        <w:spacing w:before="120" w:after="120"/>
      </w:pPr>
      <w:bookmarkStart w:id="178" w:name="_Toc29241"/>
      <w:bookmarkStart w:id="179" w:name="_Toc15687"/>
      <w:bookmarkStart w:id="180" w:name="_Toc24858"/>
      <w:bookmarkStart w:id="181" w:name="_Toc17996"/>
      <w:bookmarkStart w:id="182" w:name="_Toc5772"/>
      <w:bookmarkStart w:id="183" w:name="_Toc19159"/>
      <w:bookmarkStart w:id="184" w:name="_Toc32287"/>
      <w:bookmarkStart w:id="185" w:name="_Toc27756"/>
      <w:bookmarkStart w:id="186" w:name="_Toc7934"/>
      <w:bookmarkStart w:id="187" w:name="_Toc25028"/>
      <w:bookmarkStart w:id="188" w:name="_Toc23841"/>
      <w:bookmarkStart w:id="189" w:name="_Toc5449"/>
      <w:bookmarkStart w:id="190" w:name="_Toc31172"/>
      <w:bookmarkStart w:id="191" w:name="_Toc16093"/>
      <w:bookmarkStart w:id="192" w:name="_Toc4490"/>
      <w:bookmarkStart w:id="193" w:name="_Toc5374"/>
      <w:bookmarkStart w:id="194" w:name="_Toc27957"/>
      <w:bookmarkStart w:id="195" w:name="_Toc29600"/>
      <w:bookmarkStart w:id="196" w:name="_Toc21803"/>
      <w:bookmarkStart w:id="197" w:name="_Toc22284"/>
      <w:bookmarkStart w:id="198" w:name="_Toc71712010"/>
      <w:r>
        <w:rPr>
          <w:rFonts w:cs="Times"/>
          <w:lang w:val="en-US" w:eastAsia="zh-CN"/>
        </w:rPr>
        <w:t>IAB-MT Tx timing</w:t>
      </w:r>
      <w:r>
        <w:rPr>
          <w:rFonts w:cs="Times" w:hint="eastAsia"/>
          <w:lang w:val="en-US" w:eastAsia="zh-CN"/>
        </w:rPr>
        <w:t xml:space="preserve"> </w:t>
      </w:r>
      <w:r>
        <w:rPr>
          <w:rFonts w:cs="Times" w:hint="eastAsia"/>
          <w:lang w:val="en-US" w:eastAsia="zh-CN"/>
        </w:rPr>
        <w:t xml:space="preserve">of </w:t>
      </w:r>
      <w:r>
        <w:rPr>
          <w:rFonts w:cs="Times" w:hint="eastAsia"/>
          <w:lang w:val="en-US" w:eastAsia="zh-CN"/>
        </w:rPr>
        <w:t>case-7 timing</w:t>
      </w:r>
      <w:r>
        <w:rPr>
          <w:rFonts w:cs="Times"/>
          <w:lang w:val="en-US" w:eastAsia="zh-CN"/>
        </w:rPr>
        <w:t xml:space="preserve"> </w:t>
      </w:r>
      <w:r>
        <w:rPr>
          <w:rFonts w:hint="eastAsia"/>
          <w:lang w:val="en-US" w:eastAsia="zh-CN"/>
        </w:rPr>
        <w:t xml:space="preserve">can be based on </w:t>
      </w:r>
      <w:r>
        <w:rPr>
          <w:rFonts w:eastAsia="宋体" w:hint="eastAsia"/>
          <w:lang w:val="en-US" w:eastAsia="zh-CN"/>
        </w:rPr>
        <w:t>IAB</w:t>
      </w:r>
      <w:r>
        <w:rPr>
          <w:rFonts w:hint="eastAsia"/>
          <w:lang w:val="en-US" w:eastAsia="zh-CN"/>
        </w:rPr>
        <w:t>-</w:t>
      </w:r>
      <w:r>
        <w:rPr>
          <w:rFonts w:eastAsia="宋体" w:hint="eastAsia"/>
          <w:lang w:val="en-US" w:eastAsia="zh-CN"/>
        </w:rPr>
        <w:t>MT T</w:t>
      </w:r>
      <w:r>
        <w:rPr>
          <w:rFonts w:hint="eastAsia"/>
          <w:lang w:val="en-US" w:eastAsia="zh-CN"/>
        </w:rPr>
        <w:t>x</w:t>
      </w:r>
      <w:r>
        <w:rPr>
          <w:rFonts w:eastAsia="宋体" w:hint="eastAsia"/>
          <w:lang w:val="en-US" w:eastAsia="zh-CN"/>
        </w:rPr>
        <w:t xml:space="preserve"> timing of case-</w:t>
      </w:r>
      <w:r>
        <w:rPr>
          <w:rFonts w:hint="eastAsia"/>
          <w:lang w:val="en-US" w:eastAsia="zh-CN"/>
        </w:rPr>
        <w:t>1 plus an offset</w:t>
      </w:r>
      <w:r>
        <w:rPr>
          <w:rFonts w:cs="Times" w:hint="eastAsia"/>
          <w:lang w:val="en-US" w:eastAsia="zh-CN"/>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EA36FC" w:rsidRDefault="00841B19">
      <w:pPr>
        <w:pStyle w:val="2"/>
        <w:widowControl w:val="0"/>
        <w:spacing w:before="120" w:after="120"/>
        <w:ind w:right="210"/>
        <w:rPr>
          <w:rFonts w:ascii="Arial" w:hAnsi="Arial" w:cs="Arial"/>
          <w:szCs w:val="22"/>
        </w:rPr>
      </w:pPr>
      <w:r>
        <w:rPr>
          <w:rFonts w:ascii="Arial" w:hAnsi="Arial" w:cs="Arial" w:hint="eastAsia"/>
        </w:rPr>
        <w:t>2.2 Power control/sharing</w:t>
      </w:r>
      <w:r>
        <w:rPr>
          <w:rFonts w:ascii="Arial" w:hAnsi="Arial" w:cs="Arial"/>
        </w:rPr>
        <w:t xml:space="preserve"> for simultaneous </w:t>
      </w:r>
      <w:r>
        <w:rPr>
          <w:rFonts w:ascii="Arial" w:hAnsi="Arial" w:cs="Arial"/>
          <w:szCs w:val="22"/>
        </w:rPr>
        <w:t>operation</w:t>
      </w:r>
    </w:p>
    <w:p w:rsidR="00EA36FC" w:rsidRDefault="00841B19">
      <w:pPr>
        <w:widowControl w:val="0"/>
        <w:spacing w:before="120" w:after="120"/>
        <w:rPr>
          <w:sz w:val="20"/>
        </w:rPr>
      </w:pPr>
      <w:r>
        <w:rPr>
          <w:rFonts w:hint="eastAsia"/>
          <w:sz w:val="20"/>
        </w:rPr>
        <w:t>RAN1#10</w:t>
      </w:r>
      <w:r>
        <w:rPr>
          <w:rFonts w:hint="eastAsia"/>
          <w:sz w:val="20"/>
        </w:rPr>
        <w:t>4</w:t>
      </w:r>
      <w:r>
        <w:rPr>
          <w:rFonts w:hint="eastAsia"/>
          <w:sz w:val="20"/>
        </w:rPr>
        <w:t>-e provided the following agreements</w:t>
      </w:r>
      <w:r>
        <w:rPr>
          <w:sz w:val="20"/>
        </w:rPr>
        <w:t xml:space="preserve"> </w:t>
      </w:r>
      <w:r>
        <w:rPr>
          <w:rFonts w:hint="eastAsia"/>
          <w:sz w:val="20"/>
        </w:rPr>
        <w:t>on power control/sharing for simultaneous operation [</w:t>
      </w:r>
      <w:r>
        <w:rPr>
          <w:rFonts w:hint="eastAsia"/>
          <w:sz w:val="20"/>
        </w:rPr>
        <w:t>1</w:t>
      </w:r>
      <w:r>
        <w:rPr>
          <w:rFonts w:hint="eastAsia"/>
          <w:sz w:val="20"/>
        </w:rPr>
        <w:t>].</w:t>
      </w:r>
    </w:p>
    <w:tbl>
      <w:tblPr>
        <w:tblStyle w:val="ae"/>
        <w:tblW w:w="0" w:type="auto"/>
        <w:tblLook w:val="04A0" w:firstRow="1" w:lastRow="0" w:firstColumn="1" w:lastColumn="0" w:noHBand="0" w:noVBand="1"/>
      </w:tblPr>
      <w:tblGrid>
        <w:gridCol w:w="9876"/>
      </w:tblGrid>
      <w:tr w:rsidR="00EA36FC">
        <w:tc>
          <w:tcPr>
            <w:tcW w:w="9876" w:type="dxa"/>
          </w:tcPr>
          <w:p w:rsidR="00EA36FC" w:rsidRDefault="00841B19">
            <w:pPr>
              <w:spacing w:before="120" w:after="120"/>
              <w:rPr>
                <w:sz w:val="20"/>
              </w:rPr>
            </w:pPr>
            <w:r>
              <w:rPr>
                <w:rStyle w:val="af"/>
                <w:sz w:val="20"/>
                <w:highlight w:val="green"/>
              </w:rPr>
              <w:t>Agreemen</w:t>
            </w:r>
            <w:r>
              <w:rPr>
                <w:rStyle w:val="af"/>
                <w:sz w:val="20"/>
                <w:highlight w:val="green"/>
              </w:rPr>
              <w:t>t</w:t>
            </w:r>
          </w:p>
          <w:p w:rsidR="00EA36FC" w:rsidRDefault="00841B19">
            <w:pPr>
              <w:spacing w:before="120" w:after="120"/>
              <w:rPr>
                <w:rFonts w:eastAsia="Calibri"/>
                <w:sz w:val="20"/>
              </w:rPr>
            </w:pPr>
            <w:r>
              <w:rPr>
                <w:rFonts w:eastAsia="Calibri"/>
                <w:sz w:val="20"/>
              </w:rPr>
              <w:t xml:space="preserve">RAN1 to further study whether the legacy UL power control mechanism (including PHR) is sufficient for an IAB-node </w:t>
            </w:r>
            <w:r>
              <w:rPr>
                <w:rFonts w:eastAsia="Calibri"/>
                <w:sz w:val="20"/>
              </w:rPr>
              <w:t>operating in an enhanced multiplexing mode.</w:t>
            </w:r>
          </w:p>
          <w:p w:rsidR="00EA36FC" w:rsidRDefault="00841B19">
            <w:pPr>
              <w:pStyle w:val="af3"/>
              <w:numPr>
                <w:ilvl w:val="0"/>
                <w:numId w:val="9"/>
              </w:numPr>
              <w:spacing w:after="120" w:line="276" w:lineRule="auto"/>
              <w:textAlignment w:val="baseline"/>
              <w:rPr>
                <w:rFonts w:eastAsia="MS PGothic"/>
                <w:sz w:val="20"/>
                <w:szCs w:val="20"/>
                <w:lang w:eastAsia="ja-JP"/>
              </w:rPr>
            </w:pPr>
            <w:r>
              <w:rPr>
                <w:rFonts w:eastAsia="Calibri"/>
                <w:sz w:val="20"/>
                <w:szCs w:val="20"/>
              </w:rPr>
              <w:t xml:space="preserve">FFS: if not (i.e., the legacy mechanism is not sufficient), support an IAB-node indicating </w:t>
            </w:r>
            <w:r>
              <w:rPr>
                <w:rFonts w:eastAsia="Calibri"/>
                <w:sz w:val="20"/>
                <w:szCs w:val="20"/>
              </w:rPr>
              <w:t>information to assist with its UL power control.</w:t>
            </w:r>
          </w:p>
          <w:p w:rsidR="00EA36FC" w:rsidRDefault="00EA36FC">
            <w:pPr>
              <w:spacing w:before="120" w:after="120"/>
              <w:rPr>
                <w:sz w:val="20"/>
                <w:highlight w:val="green"/>
              </w:rPr>
            </w:pPr>
          </w:p>
          <w:p w:rsidR="00EA36FC" w:rsidRDefault="00841B19">
            <w:pPr>
              <w:spacing w:before="120" w:after="120"/>
              <w:rPr>
                <w:sz w:val="20"/>
              </w:rPr>
            </w:pPr>
            <w:r>
              <w:rPr>
                <w:rStyle w:val="af"/>
                <w:sz w:val="20"/>
                <w:highlight w:val="green"/>
              </w:rPr>
              <w:t>Agreement</w:t>
            </w:r>
          </w:p>
          <w:p w:rsidR="00EA36FC" w:rsidRDefault="00841B19">
            <w:pPr>
              <w:spacing w:before="120" w:after="120"/>
              <w:rPr>
                <w:rFonts w:eastAsia="Calibri"/>
                <w:sz w:val="20"/>
              </w:rPr>
            </w:pPr>
            <w:r>
              <w:rPr>
                <w:rFonts w:eastAsia="Calibri"/>
                <w:sz w:val="20"/>
              </w:rPr>
              <w:t>Support an IAB-node indicating information to assist with the DL power control of its parent-node towards the IAB-node without mandating an expected behavior at the parent node.</w:t>
            </w:r>
          </w:p>
          <w:p w:rsidR="00EA36FC" w:rsidRDefault="00841B19">
            <w:pPr>
              <w:pStyle w:val="af3"/>
              <w:numPr>
                <w:ilvl w:val="0"/>
                <w:numId w:val="9"/>
              </w:numPr>
              <w:spacing w:after="120" w:line="276" w:lineRule="auto"/>
              <w:textAlignment w:val="baseline"/>
              <w:rPr>
                <w:rFonts w:eastAsia="Calibri"/>
                <w:sz w:val="20"/>
                <w:szCs w:val="20"/>
              </w:rPr>
            </w:pPr>
            <w:r>
              <w:rPr>
                <w:rFonts w:eastAsia="Calibri"/>
                <w:sz w:val="20"/>
                <w:szCs w:val="20"/>
              </w:rPr>
              <w:t>Note: At least the</w:t>
            </w:r>
            <w:r>
              <w:rPr>
                <w:rFonts w:eastAsia="Calibri"/>
                <w:sz w:val="20"/>
                <w:szCs w:val="20"/>
              </w:rPr>
              <w:t xml:space="preserve"> assistance information is for supporting the simultaneous operation within the IAB-node to avoid power imbalance</w:t>
            </w:r>
          </w:p>
          <w:p w:rsidR="00EA36FC" w:rsidRDefault="00841B19">
            <w:pPr>
              <w:pStyle w:val="af3"/>
              <w:numPr>
                <w:ilvl w:val="0"/>
                <w:numId w:val="9"/>
              </w:numPr>
              <w:spacing w:after="120" w:line="276" w:lineRule="auto"/>
              <w:textAlignment w:val="baseline"/>
              <w:rPr>
                <w:rFonts w:eastAsia="Calibri"/>
                <w:sz w:val="20"/>
                <w:szCs w:val="20"/>
              </w:rPr>
            </w:pPr>
            <w:r>
              <w:rPr>
                <w:rFonts w:eastAsia="Calibri"/>
                <w:sz w:val="20"/>
                <w:szCs w:val="20"/>
              </w:rPr>
              <w:t>FFS: type of assistance information (e.g., desired received power, power adjustment, preferred CSI-RS resource)</w:t>
            </w:r>
          </w:p>
          <w:p w:rsidR="00EA36FC" w:rsidRDefault="00841B19">
            <w:pPr>
              <w:pStyle w:val="af3"/>
              <w:numPr>
                <w:ilvl w:val="0"/>
                <w:numId w:val="9"/>
              </w:numPr>
              <w:spacing w:after="120" w:line="276" w:lineRule="auto"/>
              <w:textAlignment w:val="baseline"/>
              <w:rPr>
                <w:rFonts w:eastAsia="Calibri"/>
                <w:sz w:val="20"/>
                <w:szCs w:val="20"/>
              </w:rPr>
            </w:pPr>
            <w:r>
              <w:rPr>
                <w:rFonts w:eastAsia="Calibri"/>
                <w:sz w:val="20"/>
                <w:szCs w:val="20"/>
              </w:rPr>
              <w:t xml:space="preserve">FFS: whether this information </w:t>
            </w:r>
            <w:r>
              <w:rPr>
                <w:rFonts w:eastAsia="Calibri"/>
                <w:sz w:val="20"/>
                <w:szCs w:val="20"/>
              </w:rPr>
              <w:t>is provided to the parent-node, the CU, or both.</w:t>
            </w:r>
          </w:p>
          <w:p w:rsidR="00EA36FC" w:rsidRDefault="00841B19">
            <w:pPr>
              <w:pStyle w:val="af3"/>
              <w:numPr>
                <w:ilvl w:val="0"/>
                <w:numId w:val="9"/>
              </w:numPr>
              <w:spacing w:after="120" w:line="276" w:lineRule="auto"/>
              <w:textAlignment w:val="baseline"/>
              <w:rPr>
                <w:rFonts w:eastAsia="Calibri"/>
                <w:sz w:val="20"/>
                <w:szCs w:val="20"/>
              </w:rPr>
            </w:pPr>
            <w:r>
              <w:rPr>
                <w:rFonts w:eastAsia="Calibri"/>
                <w:sz w:val="20"/>
                <w:szCs w:val="20"/>
              </w:rPr>
              <w:t>FFS: applicability of the assistance information (e.g. relation to beams or multiplexing modes)</w:t>
            </w:r>
          </w:p>
          <w:p w:rsidR="00EA36FC" w:rsidRDefault="00841B19">
            <w:pPr>
              <w:pStyle w:val="af3"/>
              <w:numPr>
                <w:ilvl w:val="0"/>
                <w:numId w:val="9"/>
              </w:numPr>
              <w:spacing w:after="120" w:line="276" w:lineRule="auto"/>
              <w:textAlignment w:val="baseline"/>
              <w:rPr>
                <w:rFonts w:eastAsia="Calibri"/>
                <w:sz w:val="20"/>
                <w:szCs w:val="20"/>
              </w:rPr>
            </w:pPr>
            <w:r>
              <w:rPr>
                <w:rFonts w:eastAsia="Calibri"/>
                <w:sz w:val="20"/>
                <w:szCs w:val="20"/>
              </w:rPr>
              <w:t>FFS: the channel carrying this assistance information</w:t>
            </w:r>
          </w:p>
          <w:p w:rsidR="00EA36FC" w:rsidRDefault="00EA36FC">
            <w:pPr>
              <w:spacing w:before="120" w:after="120"/>
              <w:rPr>
                <w:sz w:val="20"/>
              </w:rPr>
            </w:pPr>
          </w:p>
        </w:tc>
      </w:tr>
    </w:tbl>
    <w:p w:rsidR="00EA36FC" w:rsidRDefault="00841B19">
      <w:pPr>
        <w:widowControl w:val="0"/>
        <w:spacing w:before="120" w:after="120"/>
        <w:rPr>
          <w:sz w:val="20"/>
        </w:rPr>
      </w:pPr>
      <w:r>
        <w:rPr>
          <w:rFonts w:hint="eastAsia"/>
          <w:sz w:val="20"/>
        </w:rPr>
        <w:t>According to above agreements</w:t>
      </w:r>
      <w:r>
        <w:rPr>
          <w:rFonts w:hint="eastAsia"/>
          <w:sz w:val="20"/>
        </w:rPr>
        <w:t xml:space="preserve">, </w:t>
      </w:r>
      <w:r>
        <w:rPr>
          <w:rFonts w:hint="eastAsia"/>
          <w:sz w:val="20"/>
        </w:rPr>
        <w:t>for UL power control, RA</w:t>
      </w:r>
      <w:r>
        <w:rPr>
          <w:rFonts w:hint="eastAsia"/>
          <w:sz w:val="20"/>
        </w:rPr>
        <w:t>N1 needs to further study whether the</w:t>
      </w:r>
      <w:r>
        <w:rPr>
          <w:rFonts w:eastAsia="Calibri"/>
          <w:sz w:val="20"/>
        </w:rPr>
        <w:t xml:space="preserve"> legacy UL power control mechanism (including PHR) is sufficient for an IAB-node operating in an enhanced multiplexing mode</w:t>
      </w:r>
      <w:r>
        <w:rPr>
          <w:rFonts w:hint="eastAsia"/>
          <w:sz w:val="20"/>
        </w:rPr>
        <w:t>. For DL power control of an IAB node DU, it is agreed that an IAB node indicates information to</w:t>
      </w:r>
      <w:r>
        <w:rPr>
          <w:rFonts w:hint="eastAsia"/>
          <w:sz w:val="20"/>
        </w:rPr>
        <w:t xml:space="preserve"> assist with the DL power control of its parent node, but detail information (e.g. type of assistance information</w:t>
      </w:r>
      <w:r>
        <w:rPr>
          <w:rFonts w:hint="eastAsia"/>
          <w:sz w:val="20"/>
        </w:rPr>
        <w:t xml:space="preserve"> etc.</w:t>
      </w:r>
      <w:r>
        <w:rPr>
          <w:rFonts w:hint="eastAsia"/>
          <w:sz w:val="20"/>
        </w:rPr>
        <w:t>) needs to further study</w:t>
      </w:r>
      <w:r>
        <w:rPr>
          <w:rFonts w:hint="eastAsia"/>
          <w:sz w:val="20"/>
        </w:rPr>
        <w:t>.</w:t>
      </w:r>
      <w:r>
        <w:rPr>
          <w:rFonts w:hint="eastAsia"/>
          <w:sz w:val="20"/>
        </w:rPr>
        <w:t xml:space="preserve"> This section provides some views on these aspects.</w:t>
      </w:r>
    </w:p>
    <w:p w:rsidR="00EA36FC" w:rsidRDefault="00841B19">
      <w:pPr>
        <w:widowControl w:val="0"/>
        <w:spacing w:before="120" w:after="120"/>
        <w:rPr>
          <w:sz w:val="20"/>
        </w:rPr>
      </w:pPr>
      <w:r>
        <w:rPr>
          <w:rFonts w:hint="eastAsia"/>
          <w:sz w:val="20"/>
        </w:rPr>
        <w:t>For simultaneous DU-Tx/MT-Tx at IAB node, if MT Tx on backhau</w:t>
      </w:r>
      <w:r>
        <w:rPr>
          <w:rFonts w:hint="eastAsia"/>
          <w:sz w:val="20"/>
        </w:rPr>
        <w:t>l link and DU Tx on access link operate simultaneously and share the same power amplifier, power sharing/coordination between the two links needs to be studied to ensure Tx power balance and keep the total Tx power not higher than the total maximum allowed</w:t>
      </w:r>
      <w:r>
        <w:rPr>
          <w:rFonts w:hint="eastAsia"/>
          <w:sz w:val="20"/>
        </w:rPr>
        <w:t xml:space="preserve"> Tx power. If the total Tx power exceeds the total maximum allowed Tx power of IAB node, some assist information is necessary to control Tx power. For example, the CU can provide maximum allowed </w:t>
      </w:r>
      <w:r>
        <w:rPr>
          <w:rFonts w:hint="eastAsia"/>
          <w:sz w:val="20"/>
        </w:rPr>
        <w:t>UL Tx power of IAB-MT and maximum allowed</w:t>
      </w:r>
      <w:r>
        <w:rPr>
          <w:rFonts w:hint="eastAsia"/>
          <w:sz w:val="20"/>
        </w:rPr>
        <w:t xml:space="preserve"> DL Tx power of IAB-DU to IAB node to determine the actual Tx power.</w:t>
      </w:r>
    </w:p>
    <w:p w:rsidR="00EA36FC" w:rsidRDefault="00841B19">
      <w:pPr>
        <w:pStyle w:val="YJ-Proposal"/>
        <w:widowControl w:val="0"/>
        <w:spacing w:before="120" w:after="120"/>
        <w:rPr>
          <w:u w:val="single"/>
        </w:rPr>
      </w:pPr>
      <w:bookmarkStart w:id="199" w:name="_Toc26315"/>
      <w:bookmarkStart w:id="200" w:name="_Toc11311"/>
      <w:bookmarkStart w:id="201" w:name="_Toc27921"/>
      <w:bookmarkStart w:id="202" w:name="_Toc7136"/>
      <w:bookmarkStart w:id="203" w:name="_Toc71712011"/>
      <w:r>
        <w:rPr>
          <w:rFonts w:hint="eastAsia"/>
          <w:lang w:val="en-US" w:eastAsia="zh-CN"/>
        </w:rPr>
        <w:t xml:space="preserve">An IAB node can be configured </w:t>
      </w:r>
      <w:r>
        <w:rPr>
          <w:rFonts w:hint="eastAsia"/>
        </w:rPr>
        <w:t xml:space="preserve">maximum </w:t>
      </w:r>
      <w:r>
        <w:rPr>
          <w:rFonts w:hint="eastAsia"/>
          <w:lang w:val="en-US" w:eastAsia="zh-CN"/>
        </w:rPr>
        <w:t xml:space="preserve">allowed </w:t>
      </w:r>
      <w:r>
        <w:rPr>
          <w:rFonts w:hint="eastAsia"/>
          <w:lang w:val="en-US" w:eastAsia="zh-CN"/>
        </w:rPr>
        <w:t xml:space="preserve">UL Tx power of IAB-MT and </w:t>
      </w:r>
      <w:r>
        <w:rPr>
          <w:rFonts w:hint="eastAsia"/>
        </w:rPr>
        <w:t xml:space="preserve">maximum </w:t>
      </w:r>
      <w:r>
        <w:rPr>
          <w:rFonts w:hint="eastAsia"/>
          <w:lang w:val="en-US" w:eastAsia="zh-CN"/>
        </w:rPr>
        <w:t xml:space="preserve">allowed </w:t>
      </w:r>
      <w:r>
        <w:rPr>
          <w:rFonts w:hint="eastAsia"/>
          <w:lang w:val="en-US" w:eastAsia="zh-CN"/>
        </w:rPr>
        <w:t>DL Tx power of IAB-DU</w:t>
      </w:r>
      <w:r>
        <w:rPr>
          <w:rFonts w:hint="eastAsia"/>
          <w:lang w:val="en-US" w:eastAsia="zh-CN"/>
        </w:rPr>
        <w:t xml:space="preserve"> in case of simultaneous operation at the IAB node</w:t>
      </w:r>
      <w:r>
        <w:rPr>
          <w:rFonts w:cs="Times" w:hint="eastAsia"/>
          <w:lang w:val="en-US" w:eastAsia="zh-CN"/>
        </w:rPr>
        <w:t>.</w:t>
      </w:r>
      <w:bookmarkEnd w:id="199"/>
      <w:bookmarkEnd w:id="200"/>
      <w:bookmarkEnd w:id="201"/>
      <w:bookmarkEnd w:id="202"/>
      <w:bookmarkEnd w:id="203"/>
    </w:p>
    <w:p w:rsidR="00EA36FC" w:rsidRDefault="00841B19">
      <w:pPr>
        <w:widowControl w:val="0"/>
        <w:spacing w:before="120" w:after="120"/>
        <w:rPr>
          <w:b/>
          <w:i/>
          <w:sz w:val="20"/>
          <w:u w:val="single"/>
        </w:rPr>
      </w:pPr>
      <w:r>
        <w:rPr>
          <w:rFonts w:hint="eastAsia"/>
          <w:b/>
          <w:i/>
          <w:sz w:val="20"/>
          <w:u w:val="single"/>
        </w:rPr>
        <w:t>UL p</w:t>
      </w:r>
      <w:r>
        <w:rPr>
          <w:b/>
          <w:i/>
          <w:sz w:val="20"/>
          <w:u w:val="single"/>
        </w:rPr>
        <w:t xml:space="preserve">ower </w:t>
      </w:r>
      <w:r>
        <w:rPr>
          <w:rFonts w:hint="eastAsia"/>
          <w:b/>
          <w:i/>
          <w:sz w:val="20"/>
          <w:u w:val="single"/>
        </w:rPr>
        <w:t>control for child-MT</w:t>
      </w:r>
    </w:p>
    <w:p w:rsidR="00EA36FC" w:rsidRDefault="00841B19">
      <w:pPr>
        <w:widowControl w:val="0"/>
        <w:spacing w:before="120" w:after="120"/>
        <w:rPr>
          <w:sz w:val="20"/>
        </w:rPr>
      </w:pPr>
      <w:r>
        <w:rPr>
          <w:rFonts w:hint="eastAsia"/>
          <w:sz w:val="20"/>
        </w:rPr>
        <w:t>For simultaneous DU-Tx/MT-Tx at child node, power sharing/coordination needs to be considered. In this case, the maximum allowed Tx power for child-MT is limited by the maximum allowed Tx power of child node and DL Tx power fo</w:t>
      </w:r>
      <w:r>
        <w:rPr>
          <w:rFonts w:hint="eastAsia"/>
          <w:sz w:val="20"/>
        </w:rPr>
        <w:t>r child-DU. While parent link and child link of child node are multiplexing in TDM manner, the maximum allowed Tx power for child-MT can equal to the maximum allowed Tx power of child node to make full use of power resources. Therefore, for different multi</w:t>
      </w:r>
      <w:r>
        <w:rPr>
          <w:rFonts w:hint="eastAsia"/>
          <w:sz w:val="20"/>
        </w:rPr>
        <w:t>plexing scenarios or time resources child-MT may have different power</w:t>
      </w:r>
      <w:r>
        <w:rPr>
          <w:rFonts w:hint="eastAsia"/>
          <w:sz w:val="20"/>
        </w:rPr>
        <w:t xml:space="preserve"> control parameter values</w:t>
      </w:r>
      <w:r>
        <w:rPr>
          <w:rFonts w:hint="eastAsia"/>
          <w:sz w:val="20"/>
        </w:rPr>
        <w:t xml:space="preserve">. </w:t>
      </w:r>
    </w:p>
    <w:p w:rsidR="00EA36FC" w:rsidRDefault="00841B19">
      <w:pPr>
        <w:widowControl w:val="0"/>
        <w:spacing w:before="120" w:after="120"/>
        <w:rPr>
          <w:sz w:val="20"/>
        </w:rPr>
      </w:pPr>
      <w:r>
        <w:rPr>
          <w:rFonts w:hint="eastAsia"/>
          <w:sz w:val="20"/>
        </w:rPr>
        <w:t xml:space="preserve">For each multiplexing scenario or time resource, there seems to be no strong motivation to enhance </w:t>
      </w:r>
      <w:r>
        <w:rPr>
          <w:rFonts w:eastAsia="Calibri"/>
          <w:sz w:val="20"/>
        </w:rPr>
        <w:t>legacy UL power control mechanism</w:t>
      </w:r>
      <w:r>
        <w:rPr>
          <w:rFonts w:hint="eastAsia"/>
          <w:sz w:val="20"/>
        </w:rPr>
        <w:t>.</w:t>
      </w:r>
    </w:p>
    <w:p w:rsidR="00EA36FC" w:rsidRDefault="00841B19">
      <w:pPr>
        <w:widowControl w:val="0"/>
        <w:spacing w:before="120" w:after="120"/>
        <w:rPr>
          <w:sz w:val="20"/>
        </w:rPr>
      </w:pPr>
      <w:r>
        <w:rPr>
          <w:rFonts w:hint="eastAsia"/>
          <w:sz w:val="20"/>
        </w:rPr>
        <w:t>For an IAB node performin</w:t>
      </w:r>
      <w:r>
        <w:rPr>
          <w:rFonts w:hint="eastAsia"/>
          <w:sz w:val="20"/>
        </w:rPr>
        <w:t>g simultaneous DU-Rx/MT-Rx, it can control UL Tx power of child-MT based on estimated DL Rx power to ensure Rx power balance.</w:t>
      </w:r>
    </w:p>
    <w:p w:rsidR="00EA36FC" w:rsidRDefault="00841B19">
      <w:pPr>
        <w:pStyle w:val="YJ-Proposal"/>
        <w:widowControl w:val="0"/>
        <w:spacing w:before="120" w:after="120"/>
      </w:pPr>
      <w:bookmarkStart w:id="204" w:name="_Toc2174"/>
      <w:bookmarkStart w:id="205" w:name="_Toc24383"/>
      <w:bookmarkStart w:id="206" w:name="_Toc68678816"/>
      <w:bookmarkStart w:id="207" w:name="_Toc384"/>
      <w:bookmarkStart w:id="208" w:name="_Toc27069"/>
      <w:bookmarkStart w:id="209" w:name="_Toc11573"/>
      <w:bookmarkStart w:id="210" w:name="_Toc13860"/>
      <w:bookmarkStart w:id="211" w:name="_Toc2238"/>
      <w:bookmarkStart w:id="212" w:name="_Toc8469"/>
      <w:bookmarkStart w:id="213" w:name="_Toc9005"/>
      <w:bookmarkStart w:id="214" w:name="_Toc18911"/>
      <w:bookmarkStart w:id="215" w:name="_Toc9088"/>
      <w:bookmarkStart w:id="216" w:name="_Toc3266"/>
      <w:bookmarkStart w:id="217" w:name="_Toc71712012"/>
      <w:r>
        <w:rPr>
          <w:rFonts w:hint="eastAsia"/>
        </w:rPr>
        <w:t xml:space="preserve">UL power control </w:t>
      </w:r>
      <w:r>
        <w:rPr>
          <w:rFonts w:hint="eastAsia"/>
          <w:lang w:val="en-US" w:eastAsia="zh-CN"/>
        </w:rPr>
        <w:t xml:space="preserve">parameters </w:t>
      </w:r>
      <w:r>
        <w:rPr>
          <w:rFonts w:hint="eastAsia"/>
        </w:rPr>
        <w:t>of child-MT</w:t>
      </w:r>
      <w:r>
        <w:rPr>
          <w:rFonts w:hint="eastAsia"/>
          <w:lang w:val="en-US" w:eastAsia="zh-CN"/>
        </w:rPr>
        <w:t xml:space="preserve"> </w:t>
      </w:r>
      <w:r>
        <w:rPr>
          <w:rFonts w:hint="eastAsia"/>
        </w:rPr>
        <w:t>should</w:t>
      </w:r>
      <w:r>
        <w:rPr>
          <w:rFonts w:hint="eastAsia"/>
          <w:lang w:val="en-US" w:eastAsia="zh-CN"/>
        </w:rPr>
        <w:t xml:space="preserve"> be</w:t>
      </w:r>
      <w:r>
        <w:rPr>
          <w:rFonts w:hint="eastAsia"/>
        </w:rPr>
        <w:t xml:space="preserve"> associate</w:t>
      </w:r>
      <w:r>
        <w:rPr>
          <w:rFonts w:hint="eastAsia"/>
          <w:lang w:val="en-US" w:eastAsia="zh-CN"/>
        </w:rPr>
        <w:t>d</w:t>
      </w:r>
      <w:r>
        <w:rPr>
          <w:rFonts w:hint="eastAsia"/>
        </w:rPr>
        <w:t xml:space="preserve"> with</w:t>
      </w:r>
      <w:r>
        <w:rPr>
          <w:rFonts w:hint="eastAsia"/>
          <w:lang w:val="en-US" w:eastAsia="zh-CN"/>
        </w:rPr>
        <w:t xml:space="preserve"> multiplexing </w:t>
      </w:r>
      <w:r>
        <w:rPr>
          <w:rFonts w:hint="eastAsia"/>
          <w:lang w:val="en-US" w:eastAsia="zh-CN"/>
        </w:rPr>
        <w:t>scenario or time resource</w:t>
      </w:r>
      <w:r>
        <w:rPr>
          <w:lang w:val="en-US" w:eastAsia="zh-CN"/>
        </w:rPr>
        <w:t>.</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EA36FC" w:rsidRDefault="00841B19">
      <w:pPr>
        <w:pStyle w:val="YJ-Proposal"/>
        <w:widowControl w:val="0"/>
        <w:spacing w:before="120" w:after="120"/>
        <w:rPr>
          <w:lang w:val="en-US" w:eastAsia="zh-CN"/>
        </w:rPr>
      </w:pPr>
      <w:bookmarkStart w:id="218" w:name="_Toc15662"/>
      <w:bookmarkStart w:id="219" w:name="_Toc30798"/>
      <w:bookmarkStart w:id="220" w:name="_Toc17681"/>
      <w:bookmarkStart w:id="221" w:name="_Toc23814"/>
      <w:bookmarkStart w:id="222" w:name="_Toc25685"/>
      <w:bookmarkStart w:id="223" w:name="_Toc14518"/>
      <w:bookmarkStart w:id="224" w:name="_Toc313"/>
      <w:bookmarkStart w:id="225" w:name="_Toc7658"/>
      <w:bookmarkStart w:id="226" w:name="_Toc14252"/>
      <w:bookmarkStart w:id="227" w:name="_Toc24933"/>
      <w:bookmarkStart w:id="228" w:name="_Toc8057"/>
      <w:bookmarkStart w:id="229" w:name="_Toc25563"/>
      <w:bookmarkStart w:id="230" w:name="_Toc14412"/>
      <w:bookmarkStart w:id="231" w:name="_Toc918"/>
      <w:bookmarkStart w:id="232" w:name="_Toc15559"/>
      <w:bookmarkStart w:id="233" w:name="_Toc1387"/>
      <w:bookmarkStart w:id="234" w:name="_Toc7815"/>
      <w:bookmarkStart w:id="235" w:name="_Toc20305"/>
      <w:bookmarkStart w:id="236" w:name="_Toc19205"/>
      <w:bookmarkStart w:id="237" w:name="_Toc15754"/>
      <w:bookmarkStart w:id="238" w:name="_Toc14389"/>
      <w:bookmarkStart w:id="239" w:name="_Toc71712013"/>
      <w:r>
        <w:rPr>
          <w:rFonts w:hint="eastAsia"/>
        </w:rPr>
        <w:t xml:space="preserve">For UL power control of </w:t>
      </w:r>
      <w:r>
        <w:rPr>
          <w:rFonts w:hint="eastAsia"/>
        </w:rPr>
        <w:t>child-MT</w:t>
      </w:r>
      <w:r>
        <w:rPr>
          <w:rFonts w:hint="eastAsia"/>
          <w:lang w:val="en-US" w:eastAsia="zh-CN"/>
        </w:rPr>
        <w:t xml:space="preserve"> on each multiplexing </w:t>
      </w:r>
      <w:r>
        <w:rPr>
          <w:rFonts w:hint="eastAsia"/>
          <w:lang w:val="en-US" w:eastAsia="zh-CN"/>
        </w:rPr>
        <w:t xml:space="preserve">scenario or time resource, </w:t>
      </w:r>
      <w:r>
        <w:rPr>
          <w:rFonts w:eastAsia="Calibri"/>
        </w:rPr>
        <w:t>legacy UL power control mechanism</w:t>
      </w:r>
      <w:r>
        <w:rPr>
          <w:rFonts w:eastAsia="宋体" w:hint="eastAsia"/>
          <w:lang w:val="en-US" w:eastAsia="zh-CN"/>
        </w:rPr>
        <w:t xml:space="preserve"> is reused.</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EA36FC" w:rsidRDefault="00EA36FC">
      <w:pPr>
        <w:pStyle w:val="YJ-Proposal"/>
        <w:widowControl w:val="0"/>
        <w:numPr>
          <w:ilvl w:val="255"/>
          <w:numId w:val="0"/>
        </w:numPr>
        <w:spacing w:before="120" w:after="120"/>
        <w:rPr>
          <w:lang w:val="en-US" w:eastAsia="zh-CN"/>
        </w:rPr>
      </w:pPr>
      <w:bookmarkStart w:id="240" w:name="_Toc5180"/>
      <w:bookmarkStart w:id="241" w:name="_Toc16240"/>
      <w:bookmarkStart w:id="242" w:name="_Toc19102"/>
      <w:bookmarkEnd w:id="240"/>
      <w:bookmarkEnd w:id="241"/>
      <w:bookmarkEnd w:id="242"/>
    </w:p>
    <w:p w:rsidR="00EA36FC" w:rsidRDefault="00841B19">
      <w:pPr>
        <w:widowControl w:val="0"/>
        <w:spacing w:before="120" w:after="120"/>
        <w:rPr>
          <w:b/>
          <w:i/>
          <w:sz w:val="20"/>
          <w:u w:val="single"/>
        </w:rPr>
      </w:pPr>
      <w:r>
        <w:rPr>
          <w:rFonts w:hint="eastAsia"/>
          <w:b/>
          <w:i/>
          <w:sz w:val="20"/>
          <w:u w:val="single"/>
        </w:rPr>
        <w:t>DL p</w:t>
      </w:r>
      <w:r>
        <w:rPr>
          <w:b/>
          <w:i/>
          <w:sz w:val="20"/>
          <w:u w:val="single"/>
        </w:rPr>
        <w:t xml:space="preserve">ower </w:t>
      </w:r>
      <w:r>
        <w:rPr>
          <w:rFonts w:hint="eastAsia"/>
          <w:b/>
          <w:i/>
          <w:sz w:val="20"/>
          <w:u w:val="single"/>
        </w:rPr>
        <w:t>control for IAB-DU</w:t>
      </w:r>
    </w:p>
    <w:p w:rsidR="00EA36FC" w:rsidRDefault="00841B19">
      <w:pPr>
        <w:widowControl w:val="0"/>
        <w:spacing w:before="120" w:after="120"/>
        <w:rPr>
          <w:sz w:val="20"/>
        </w:rPr>
      </w:pPr>
      <w:r>
        <w:rPr>
          <w:sz w:val="20"/>
        </w:rPr>
        <w:t>Similar to UL power control</w:t>
      </w:r>
      <w:r>
        <w:rPr>
          <w:rFonts w:hint="eastAsia"/>
          <w:sz w:val="20"/>
        </w:rPr>
        <w:t xml:space="preserve"> of NR access UEs, the parameters used for DL power control of IAB-DU should</w:t>
      </w:r>
      <w:r>
        <w:rPr>
          <w:rFonts w:hint="eastAsia"/>
          <w:sz w:val="20"/>
        </w:rPr>
        <w:t xml:space="preserve"> be</w:t>
      </w:r>
      <w:r w:rsidR="00D32540">
        <w:rPr>
          <w:rFonts w:hint="eastAsia"/>
          <w:sz w:val="20"/>
        </w:rPr>
        <w:t xml:space="preserve"> </w:t>
      </w:r>
      <w:r>
        <w:rPr>
          <w:rFonts w:hint="eastAsia"/>
          <w:sz w:val="20"/>
        </w:rPr>
        <w:t>associate</w:t>
      </w:r>
      <w:r>
        <w:rPr>
          <w:rFonts w:hint="eastAsia"/>
          <w:sz w:val="20"/>
        </w:rPr>
        <w:t>d</w:t>
      </w:r>
      <w:r>
        <w:rPr>
          <w:rFonts w:hint="eastAsia"/>
          <w:sz w:val="20"/>
        </w:rPr>
        <w:t xml:space="preserve"> with beam information. In </w:t>
      </w:r>
      <w:r>
        <w:rPr>
          <w:sz w:val="20"/>
        </w:rPr>
        <w:t>practice</w:t>
      </w:r>
      <w:r>
        <w:rPr>
          <w:rFonts w:hint="eastAsia"/>
          <w:sz w:val="20"/>
        </w:rPr>
        <w:t>,</w:t>
      </w:r>
      <w:r>
        <w:rPr>
          <w:sz w:val="20"/>
        </w:rPr>
        <w:t xml:space="preserve"> </w:t>
      </w:r>
      <w:r>
        <w:rPr>
          <w:rFonts w:hint="eastAsia"/>
          <w:sz w:val="20"/>
        </w:rPr>
        <w:t>DU can use different beams in different time and this would lead to different RX power and DL pathloss at its child node.</w:t>
      </w:r>
    </w:p>
    <w:p w:rsidR="00EA36FC" w:rsidRDefault="00841B19">
      <w:pPr>
        <w:pStyle w:val="YJ-Proposal"/>
        <w:widowControl w:val="0"/>
        <w:spacing w:before="120" w:after="120"/>
        <w:rPr>
          <w:lang w:val="en-US" w:eastAsia="zh-CN"/>
        </w:rPr>
      </w:pPr>
      <w:bookmarkStart w:id="243" w:name="_Toc17997"/>
      <w:bookmarkStart w:id="244" w:name="_Toc23524"/>
      <w:bookmarkStart w:id="245" w:name="_Toc20723"/>
      <w:bookmarkStart w:id="246" w:name="_Toc19023"/>
      <w:bookmarkStart w:id="247" w:name="_Toc30906"/>
      <w:bookmarkStart w:id="248" w:name="_Toc21069"/>
      <w:bookmarkStart w:id="249" w:name="_Toc11804"/>
      <w:bookmarkStart w:id="250" w:name="_Toc28805"/>
      <w:bookmarkStart w:id="251" w:name="_Toc17583"/>
      <w:bookmarkStart w:id="252" w:name="_Toc29761"/>
      <w:bookmarkStart w:id="253" w:name="_Toc23713"/>
      <w:bookmarkStart w:id="254" w:name="_Toc18791"/>
      <w:bookmarkStart w:id="255" w:name="_Toc29828"/>
      <w:bookmarkStart w:id="256" w:name="_Toc9985"/>
      <w:bookmarkStart w:id="257" w:name="_Toc6496"/>
      <w:bookmarkStart w:id="258" w:name="_Toc29428"/>
      <w:bookmarkStart w:id="259" w:name="_Toc372"/>
      <w:bookmarkStart w:id="260" w:name="_Toc1155"/>
      <w:bookmarkStart w:id="261" w:name="_Toc18776"/>
      <w:bookmarkStart w:id="262" w:name="_Toc15174"/>
      <w:bookmarkStart w:id="263" w:name="_Toc15441"/>
      <w:bookmarkStart w:id="264" w:name="_Toc13749"/>
      <w:bookmarkStart w:id="265" w:name="_Toc13587"/>
      <w:bookmarkStart w:id="266" w:name="_Toc16514"/>
      <w:bookmarkStart w:id="267" w:name="_Toc8173"/>
      <w:bookmarkStart w:id="268" w:name="_Toc19396"/>
      <w:bookmarkStart w:id="269" w:name="_Toc71712014"/>
      <w:r>
        <w:rPr>
          <w:rFonts w:hint="eastAsia"/>
        </w:rPr>
        <w:t>Beam depended DL power control of IAB-DU should be considered</w:t>
      </w:r>
      <w:r>
        <w:rPr>
          <w:rFonts w:hint="eastAsia"/>
          <w:lang w:val="en-US" w:eastAsia="zh-CN"/>
        </w:rPr>
        <w:t xml:space="preserve">, IAB-DU provides DL power control </w:t>
      </w:r>
      <w:r>
        <w:rPr>
          <w:rFonts w:hint="eastAsia"/>
          <w:lang w:val="en-US" w:eastAsia="zh-CN"/>
        </w:rPr>
        <w:t>parameters and associated beam information to child-MTs</w:t>
      </w:r>
      <w:r>
        <w:rPr>
          <w:rFonts w:hint="eastAsia"/>
        </w:rPr>
        <w:t xml:space="preserve"> (e.g.</w:t>
      </w:r>
      <w:r>
        <w:t>,</w:t>
      </w:r>
      <w:r>
        <w:rPr>
          <w:rFonts w:hint="eastAsia"/>
        </w:rPr>
        <w:t xml:space="preserve"> different PC parameters could be associated with different TCI states, or CSI-RSs)</w:t>
      </w:r>
      <w:r>
        <w:rPr>
          <w:rFonts w:hint="eastAsia"/>
          <w:lang w:val="en-US" w:eastAsia="zh-CN"/>
        </w:rP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r>
        <w:rPr>
          <w:rFonts w:hint="eastAsia"/>
          <w:lang w:val="en-US" w:eastAsia="zh-CN"/>
        </w:rPr>
        <w:t xml:space="preserve"> </w:t>
      </w:r>
    </w:p>
    <w:p w:rsidR="00EA36FC" w:rsidRDefault="00841B19">
      <w:pPr>
        <w:widowControl w:val="0"/>
        <w:spacing w:before="120" w:after="120"/>
        <w:rPr>
          <w:sz w:val="20"/>
        </w:rPr>
      </w:pPr>
      <w:r>
        <w:rPr>
          <w:rFonts w:hint="eastAsia"/>
          <w:sz w:val="20"/>
        </w:rPr>
        <w:t>For simultaneous DU-Rx/MT-Rx at child node, the child node can indicate expected DL Rx power</w:t>
      </w:r>
      <w:r>
        <w:rPr>
          <w:rFonts w:hint="eastAsia"/>
          <w:sz w:val="20"/>
        </w:rPr>
        <w:t xml:space="preserve"> </w:t>
      </w:r>
      <w:r>
        <w:rPr>
          <w:rFonts w:hint="eastAsia"/>
          <w:sz w:val="20"/>
        </w:rPr>
        <w:t>equivalent para</w:t>
      </w:r>
      <w:r>
        <w:rPr>
          <w:rFonts w:hint="eastAsia"/>
          <w:sz w:val="20"/>
        </w:rPr>
        <w:t>meters</w:t>
      </w:r>
      <w:r w:rsidR="00D32540">
        <w:rPr>
          <w:rFonts w:hint="eastAsia"/>
          <w:sz w:val="20"/>
        </w:rPr>
        <w:t xml:space="preserve"> (e.g. offset from a certai</w:t>
      </w:r>
      <w:r>
        <w:rPr>
          <w:rFonts w:hint="eastAsia"/>
          <w:sz w:val="20"/>
        </w:rPr>
        <w:t>n CSI-RS Rx power to e</w:t>
      </w:r>
      <w:r>
        <w:rPr>
          <w:rFonts w:hint="eastAsia"/>
          <w:sz w:val="20"/>
        </w:rPr>
        <w:t>xpected DL Rx power</w:t>
      </w:r>
      <w:r>
        <w:rPr>
          <w:rFonts w:hint="eastAsia"/>
          <w:sz w:val="20"/>
        </w:rPr>
        <w:t>)</w:t>
      </w:r>
      <w:r>
        <w:rPr>
          <w:rFonts w:hint="eastAsia"/>
          <w:sz w:val="20"/>
        </w:rPr>
        <w:t xml:space="preserve"> to its parent node to ensure Rx power balance. Similar to DL power control information provided by IAB-DU to child-MTs, expected DL Rx power</w:t>
      </w:r>
      <w:r>
        <w:rPr>
          <w:rFonts w:hint="eastAsia"/>
          <w:sz w:val="20"/>
        </w:rPr>
        <w:t xml:space="preserve"> </w:t>
      </w:r>
      <w:r>
        <w:rPr>
          <w:rFonts w:hint="eastAsia"/>
          <w:sz w:val="20"/>
        </w:rPr>
        <w:t>equivalent parameters should be also a</w:t>
      </w:r>
      <w:r>
        <w:rPr>
          <w:rFonts w:hint="eastAsia"/>
          <w:sz w:val="20"/>
        </w:rPr>
        <w:t>ssociated with beam information.</w:t>
      </w:r>
    </w:p>
    <w:p w:rsidR="00EA36FC" w:rsidRDefault="00841B19">
      <w:pPr>
        <w:pStyle w:val="YJ-Proposal"/>
        <w:widowControl w:val="0"/>
        <w:spacing w:before="120" w:after="120"/>
        <w:rPr>
          <w:lang w:val="en-US" w:eastAsia="zh-CN"/>
        </w:rPr>
      </w:pPr>
      <w:bookmarkStart w:id="270" w:name="_Toc12747"/>
      <w:bookmarkStart w:id="271" w:name="_Toc27828"/>
      <w:bookmarkStart w:id="272" w:name="_Toc22725"/>
      <w:bookmarkStart w:id="273" w:name="_Toc32184"/>
      <w:bookmarkStart w:id="274" w:name="_Toc5791"/>
      <w:bookmarkStart w:id="275" w:name="_Toc6862"/>
      <w:bookmarkStart w:id="276" w:name="_Toc13301"/>
      <w:bookmarkStart w:id="277" w:name="_Toc11293"/>
      <w:bookmarkStart w:id="278" w:name="_Toc16416"/>
      <w:bookmarkStart w:id="279" w:name="_Toc18693"/>
      <w:bookmarkStart w:id="280" w:name="_Toc22588"/>
      <w:bookmarkStart w:id="281" w:name="_Toc6903"/>
      <w:bookmarkStart w:id="282" w:name="_Toc20693"/>
      <w:bookmarkStart w:id="283" w:name="_Toc1969"/>
      <w:bookmarkStart w:id="284" w:name="_Toc17309"/>
      <w:bookmarkStart w:id="285" w:name="_Toc719"/>
      <w:bookmarkStart w:id="286" w:name="_Toc32033"/>
      <w:bookmarkStart w:id="287" w:name="_Toc4326"/>
      <w:bookmarkStart w:id="288" w:name="_Toc5363"/>
      <w:bookmarkStart w:id="289" w:name="_Toc28043"/>
      <w:bookmarkStart w:id="290" w:name="_Toc25701"/>
      <w:bookmarkStart w:id="291" w:name="_Toc28925"/>
      <w:bookmarkStart w:id="292" w:name="_Toc11789"/>
      <w:bookmarkStart w:id="293" w:name="_Toc17901"/>
      <w:bookmarkStart w:id="294" w:name="_Toc25096"/>
      <w:bookmarkStart w:id="295" w:name="_Toc4804"/>
      <w:bookmarkStart w:id="296" w:name="_Toc71712015"/>
      <w:r>
        <w:rPr>
          <w:rFonts w:hint="eastAsia"/>
        </w:rPr>
        <w:t>Expected DL Rx power</w:t>
      </w:r>
      <w:r>
        <w:rPr>
          <w:lang w:val="en-US"/>
        </w:rPr>
        <w:t xml:space="preserve"> </w:t>
      </w:r>
      <w:r>
        <w:rPr>
          <w:rFonts w:hint="eastAsia"/>
        </w:rPr>
        <w:t>equivalent parameters</w:t>
      </w:r>
      <w:r w:rsidR="00D32540">
        <w:rPr>
          <w:rFonts w:hint="eastAsia"/>
          <w:lang w:val="en-US" w:eastAsia="zh-CN"/>
        </w:rPr>
        <w:t xml:space="preserve"> (e.g. offset from a certain CSI-RS Rx power to expected </w:t>
      </w:r>
      <w:r>
        <w:rPr>
          <w:rFonts w:hint="eastAsia"/>
        </w:rPr>
        <w:t>DL Rx power</w:t>
      </w:r>
      <w:r>
        <w:rPr>
          <w:rFonts w:hint="eastAsia"/>
          <w:lang w:val="en-US" w:eastAsia="zh-CN"/>
        </w:rPr>
        <w:t>)</w:t>
      </w:r>
      <w:r>
        <w:rPr>
          <w:rFonts w:hint="eastAsia"/>
        </w:rPr>
        <w:t xml:space="preserve"> </w:t>
      </w:r>
      <w:r>
        <w:rPr>
          <w:rFonts w:hint="eastAsia"/>
          <w:lang w:val="en-US" w:eastAsia="zh-CN"/>
        </w:rPr>
        <w:t xml:space="preserve">and associated beam information </w:t>
      </w:r>
      <w:r>
        <w:rPr>
          <w:rFonts w:hint="eastAsia"/>
        </w:rPr>
        <w:t xml:space="preserve">could be indicated </w:t>
      </w:r>
      <w:r>
        <w:rPr>
          <w:rFonts w:hint="eastAsia"/>
          <w:lang w:val="en-US" w:eastAsia="zh-CN"/>
        </w:rPr>
        <w:t>by</w:t>
      </w:r>
      <w:r>
        <w:rPr>
          <w:rFonts w:hint="eastAsia"/>
        </w:rPr>
        <w:t xml:space="preserve"> child node to IAB node to assist the DL power control of</w:t>
      </w:r>
      <w:r>
        <w:rPr>
          <w:rFonts w:hint="eastAsia"/>
        </w:rPr>
        <w:t xml:space="preserve"> IAB-DU</w:t>
      </w:r>
      <w:r>
        <w:rPr>
          <w:rFonts w:hint="eastAsia"/>
          <w:lang w:val="en-US" w:eastAsia="zh-CN"/>
        </w:rPr>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r>
        <w:rPr>
          <w:rFonts w:hint="eastAsia"/>
          <w:lang w:val="en-US" w:eastAsia="zh-CN"/>
        </w:rPr>
        <w:t xml:space="preserve"> </w:t>
      </w:r>
    </w:p>
    <w:p w:rsidR="00EA36FC" w:rsidRDefault="00841B19">
      <w:pPr>
        <w:pStyle w:val="2"/>
        <w:widowControl w:val="0"/>
        <w:spacing w:before="120" w:after="120"/>
        <w:ind w:right="210"/>
      </w:pPr>
      <w:r>
        <w:rPr>
          <w:rFonts w:ascii="Arial" w:hAnsi="Arial" w:cs="Arial" w:hint="eastAsia"/>
        </w:rPr>
        <w:t xml:space="preserve">2.3 </w:t>
      </w:r>
      <w:r>
        <w:rPr>
          <w:rFonts w:ascii="Arial" w:hAnsi="Arial" w:cs="Arial"/>
          <w:szCs w:val="22"/>
        </w:rPr>
        <w:t>CLI and interference measurements for simultaneous operation</w:t>
      </w:r>
    </w:p>
    <w:tbl>
      <w:tblPr>
        <w:tblStyle w:val="ae"/>
        <w:tblW w:w="0" w:type="auto"/>
        <w:tblLook w:val="04A0" w:firstRow="1" w:lastRow="0" w:firstColumn="1" w:lastColumn="0" w:noHBand="0" w:noVBand="1"/>
      </w:tblPr>
      <w:tblGrid>
        <w:gridCol w:w="9876"/>
      </w:tblGrid>
      <w:tr w:rsidR="00EA36FC">
        <w:tc>
          <w:tcPr>
            <w:tcW w:w="9876" w:type="dxa"/>
          </w:tcPr>
          <w:p w:rsidR="00CC354F" w:rsidRPr="00297B77" w:rsidRDefault="00CC354F" w:rsidP="00CC354F">
            <w:pPr>
              <w:spacing w:before="120" w:after="120"/>
              <w:rPr>
                <w:rFonts w:cs="Times"/>
                <w:b/>
                <w:bCs/>
                <w:sz w:val="20"/>
                <w:highlight w:val="green"/>
              </w:rPr>
            </w:pPr>
            <w:r w:rsidRPr="00297B77">
              <w:rPr>
                <w:rFonts w:cs="Times"/>
                <w:b/>
                <w:bCs/>
                <w:sz w:val="20"/>
                <w:highlight w:val="green"/>
              </w:rPr>
              <w:t>Agreement</w:t>
            </w:r>
          </w:p>
          <w:p w:rsidR="00CC354F" w:rsidRPr="00297B77" w:rsidRDefault="00CC354F" w:rsidP="00CC354F">
            <w:pPr>
              <w:spacing w:before="120" w:after="120"/>
              <w:rPr>
                <w:rFonts w:eastAsia="Calibri"/>
                <w:sz w:val="20"/>
              </w:rPr>
            </w:pPr>
            <w:r w:rsidRPr="00297B77">
              <w:rPr>
                <w:rFonts w:eastAsia="Calibri"/>
                <w:sz w:val="20"/>
              </w:rPr>
              <w:t>RAN1 to select among the following options to support DU-to-DU measurement and report.</w:t>
            </w:r>
          </w:p>
          <w:p w:rsidR="00CC354F" w:rsidRPr="00297B77" w:rsidRDefault="00CC354F" w:rsidP="00CC354F">
            <w:pPr>
              <w:pStyle w:val="af3"/>
              <w:numPr>
                <w:ilvl w:val="0"/>
                <w:numId w:val="9"/>
              </w:numPr>
              <w:spacing w:after="120"/>
              <w:textAlignment w:val="baseline"/>
              <w:rPr>
                <w:rFonts w:eastAsia="Calibri" w:cs="Times"/>
                <w:sz w:val="20"/>
                <w:szCs w:val="20"/>
              </w:rPr>
            </w:pPr>
            <w:r w:rsidRPr="00297B77">
              <w:rPr>
                <w:rFonts w:eastAsia="Calibri" w:cs="Times"/>
                <w:sz w:val="20"/>
                <w:szCs w:val="20"/>
              </w:rPr>
              <w:t>For DU-to-DU CLI measurement:</w:t>
            </w:r>
          </w:p>
          <w:p w:rsidR="00CC354F" w:rsidRPr="00297B77" w:rsidRDefault="00CC354F" w:rsidP="00CC354F">
            <w:pPr>
              <w:pStyle w:val="af3"/>
              <w:numPr>
                <w:ilvl w:val="1"/>
                <w:numId w:val="9"/>
              </w:numPr>
              <w:spacing w:after="120"/>
              <w:textAlignment w:val="baseline"/>
              <w:rPr>
                <w:rFonts w:eastAsia="Calibri" w:cs="Times"/>
                <w:sz w:val="20"/>
                <w:szCs w:val="20"/>
              </w:rPr>
            </w:pPr>
            <w:r w:rsidRPr="00297B77">
              <w:rPr>
                <w:rFonts w:eastAsia="Calibri" w:cs="Times"/>
                <w:sz w:val="20"/>
                <w:szCs w:val="20"/>
              </w:rPr>
              <w:t>Option 1.1. no specific mechanism is specified (e.g., it is handled by the implementation, or the available techniques)</w:t>
            </w:r>
          </w:p>
          <w:p w:rsidR="00CC354F" w:rsidRPr="00297B77" w:rsidRDefault="00CC354F" w:rsidP="00CC354F">
            <w:pPr>
              <w:pStyle w:val="af3"/>
              <w:numPr>
                <w:ilvl w:val="1"/>
                <w:numId w:val="9"/>
              </w:numPr>
              <w:spacing w:after="120"/>
              <w:textAlignment w:val="baseline"/>
              <w:rPr>
                <w:rFonts w:eastAsia="Calibri" w:cs="Times"/>
                <w:sz w:val="20"/>
                <w:szCs w:val="20"/>
              </w:rPr>
            </w:pPr>
            <w:r w:rsidRPr="00297B77">
              <w:rPr>
                <w:rFonts w:eastAsia="Calibri" w:cs="Times"/>
                <w:sz w:val="20"/>
                <w:szCs w:val="20"/>
              </w:rPr>
              <w:t>Option 1.2. enhanced legacy DU-based measurement procedures (e.g., enhanced Rel-16 RIM)</w:t>
            </w:r>
          </w:p>
          <w:p w:rsidR="00CC354F" w:rsidRPr="00297B77" w:rsidRDefault="00CC354F" w:rsidP="00CC354F">
            <w:pPr>
              <w:pStyle w:val="af3"/>
              <w:numPr>
                <w:ilvl w:val="1"/>
                <w:numId w:val="9"/>
              </w:numPr>
              <w:spacing w:after="120"/>
              <w:textAlignment w:val="baseline"/>
              <w:rPr>
                <w:rFonts w:eastAsia="Calibri" w:cs="Times"/>
                <w:sz w:val="20"/>
                <w:szCs w:val="20"/>
              </w:rPr>
            </w:pPr>
            <w:r w:rsidRPr="00297B77">
              <w:rPr>
                <w:rFonts w:eastAsia="Calibri" w:cs="Times"/>
                <w:sz w:val="20"/>
                <w:szCs w:val="20"/>
              </w:rPr>
              <w:t>Option 1.3. enhanced MT-based measurements (e.g., MT-based CLI, MT RRM measurements)</w:t>
            </w:r>
          </w:p>
          <w:p w:rsidR="00CC354F" w:rsidRPr="00297B77" w:rsidRDefault="00CC354F" w:rsidP="00CC354F">
            <w:pPr>
              <w:pStyle w:val="af3"/>
              <w:numPr>
                <w:ilvl w:val="0"/>
                <w:numId w:val="9"/>
              </w:numPr>
              <w:spacing w:after="120"/>
              <w:textAlignment w:val="baseline"/>
              <w:rPr>
                <w:rFonts w:eastAsia="Calibri" w:cs="Times"/>
                <w:sz w:val="20"/>
                <w:szCs w:val="20"/>
              </w:rPr>
            </w:pPr>
            <w:r w:rsidRPr="00297B77">
              <w:rPr>
                <w:rFonts w:eastAsia="Calibri" w:cs="Times"/>
                <w:sz w:val="20"/>
                <w:szCs w:val="20"/>
              </w:rPr>
              <w:t>For DU-to-DU CLI report:</w:t>
            </w:r>
          </w:p>
          <w:p w:rsidR="00CC354F" w:rsidRPr="00297B77" w:rsidRDefault="00CC354F" w:rsidP="00CC354F">
            <w:pPr>
              <w:pStyle w:val="af3"/>
              <w:numPr>
                <w:ilvl w:val="1"/>
                <w:numId w:val="9"/>
              </w:numPr>
              <w:spacing w:after="120"/>
              <w:textAlignment w:val="baseline"/>
              <w:rPr>
                <w:rFonts w:eastAsia="Calibri" w:cs="Times"/>
                <w:sz w:val="20"/>
                <w:szCs w:val="20"/>
              </w:rPr>
            </w:pPr>
            <w:r w:rsidRPr="00297B77">
              <w:rPr>
                <w:rFonts w:eastAsia="Calibri" w:cs="Times"/>
                <w:sz w:val="20"/>
                <w:szCs w:val="20"/>
              </w:rPr>
              <w:t>Option 2.1. no specific mechanism is specified (e.g., it is handled by the implementation, or the available techniques)</w:t>
            </w:r>
          </w:p>
          <w:p w:rsidR="00CC354F" w:rsidRPr="00297B77" w:rsidRDefault="00CC354F" w:rsidP="00CC354F">
            <w:pPr>
              <w:pStyle w:val="af3"/>
              <w:numPr>
                <w:ilvl w:val="1"/>
                <w:numId w:val="9"/>
              </w:numPr>
              <w:spacing w:after="120"/>
              <w:textAlignment w:val="baseline"/>
              <w:rPr>
                <w:rFonts w:eastAsia="Calibri" w:cs="Times"/>
                <w:sz w:val="20"/>
                <w:szCs w:val="20"/>
              </w:rPr>
            </w:pPr>
            <w:r w:rsidRPr="00297B77">
              <w:rPr>
                <w:rFonts w:eastAsia="Calibri" w:cs="Times"/>
                <w:sz w:val="20"/>
                <w:szCs w:val="20"/>
              </w:rPr>
              <w:t>Option 2.2. enhanced legacy DU-based report (e.g., enhanced Rel-16 RIM)</w:t>
            </w:r>
          </w:p>
          <w:p w:rsidR="00CC354F" w:rsidRPr="00297B77" w:rsidRDefault="00CC354F" w:rsidP="00CC354F">
            <w:pPr>
              <w:pStyle w:val="af3"/>
              <w:numPr>
                <w:ilvl w:val="1"/>
                <w:numId w:val="9"/>
              </w:numPr>
              <w:spacing w:after="120"/>
              <w:textAlignment w:val="baseline"/>
              <w:rPr>
                <w:rFonts w:eastAsia="Calibri" w:cs="Times"/>
                <w:sz w:val="20"/>
                <w:szCs w:val="20"/>
              </w:rPr>
            </w:pPr>
            <w:r w:rsidRPr="00297B77">
              <w:rPr>
                <w:rFonts w:eastAsia="Calibri" w:cs="Times"/>
                <w:sz w:val="20"/>
                <w:szCs w:val="20"/>
              </w:rPr>
              <w:t>Option 2.3. enhanced MT-based report (e.g., MT-based CLI, MT RRM measurements)</w:t>
            </w:r>
          </w:p>
          <w:p w:rsidR="00CC354F" w:rsidRPr="00297B77" w:rsidRDefault="00CC354F" w:rsidP="00CC354F">
            <w:pPr>
              <w:spacing w:before="120" w:after="120"/>
              <w:rPr>
                <w:rFonts w:cs="Times"/>
                <w:b/>
                <w:bCs/>
                <w:sz w:val="20"/>
                <w:highlight w:val="green"/>
              </w:rPr>
            </w:pPr>
            <w:r w:rsidRPr="00297B77">
              <w:rPr>
                <w:rFonts w:cs="Times"/>
                <w:b/>
                <w:bCs/>
                <w:sz w:val="20"/>
                <w:highlight w:val="green"/>
              </w:rPr>
              <w:t>Agreement</w:t>
            </w:r>
          </w:p>
          <w:p w:rsidR="00CC354F" w:rsidRPr="00297B77" w:rsidRDefault="00CC354F" w:rsidP="00CC354F">
            <w:pPr>
              <w:spacing w:before="120" w:after="120"/>
              <w:rPr>
                <w:rFonts w:eastAsia="Calibri"/>
                <w:sz w:val="20"/>
              </w:rPr>
            </w:pPr>
            <w:r w:rsidRPr="00297B77">
              <w:rPr>
                <w:rFonts w:eastAsia="Calibri"/>
                <w:sz w:val="20"/>
              </w:rPr>
              <w:t>RAN1 to decide whether to enhance interference mitigation through information exchange to support beam-management at the parent or child node in RAN1#104bis-e</w:t>
            </w:r>
          </w:p>
          <w:p w:rsidR="00CC354F" w:rsidRPr="00297B77" w:rsidRDefault="00CC354F" w:rsidP="00CC354F">
            <w:pPr>
              <w:pStyle w:val="af3"/>
              <w:numPr>
                <w:ilvl w:val="1"/>
                <w:numId w:val="10"/>
              </w:numPr>
              <w:spacing w:after="120"/>
              <w:textAlignment w:val="baseline"/>
              <w:rPr>
                <w:rFonts w:eastAsia="Calibri"/>
                <w:sz w:val="20"/>
                <w:szCs w:val="20"/>
              </w:rPr>
            </w:pPr>
            <w:r w:rsidRPr="00297B77">
              <w:rPr>
                <w:rFonts w:eastAsia="Calibri"/>
                <w:sz w:val="20"/>
                <w:szCs w:val="20"/>
              </w:rPr>
              <w:t>FFS: reporting of desired beams for reception in DL or desired beams for transmission in UL by the IAB node for a given multiplexing mode</w:t>
            </w:r>
          </w:p>
          <w:p w:rsidR="00EA36FC" w:rsidRDefault="00CC354F" w:rsidP="00CC354F">
            <w:pPr>
              <w:spacing w:before="120" w:after="120"/>
            </w:pPr>
            <w:r w:rsidRPr="00297B77">
              <w:rPr>
                <w:rFonts w:eastAsia="Calibri"/>
                <w:sz w:val="20"/>
              </w:rPr>
              <w:t>FFS: indicating applicable beams in DL or beams in UL for a given multiplexing mode.</w:t>
            </w:r>
          </w:p>
        </w:tc>
      </w:tr>
    </w:tbl>
    <w:p w:rsidR="00CC354F" w:rsidRPr="00CC354F" w:rsidRDefault="00CC354F">
      <w:pPr>
        <w:widowControl w:val="0"/>
        <w:spacing w:before="120" w:after="120"/>
        <w:rPr>
          <w:sz w:val="20"/>
        </w:rPr>
      </w:pPr>
    </w:p>
    <w:p w:rsidR="00CC354F" w:rsidRDefault="00841B19">
      <w:pPr>
        <w:widowControl w:val="0"/>
        <w:spacing w:before="120" w:after="120"/>
        <w:rPr>
          <w:rFonts w:hint="eastAsia"/>
          <w:sz w:val="20"/>
        </w:rPr>
      </w:pPr>
      <w:r>
        <w:rPr>
          <w:rFonts w:hint="eastAsia"/>
          <w:sz w:val="20"/>
        </w:rPr>
        <w:t xml:space="preserve">For CLI in IAB scenario, MT to MT </w:t>
      </w:r>
      <w:r>
        <w:rPr>
          <w:rFonts w:eastAsia="Calibri"/>
          <w:sz w:val="20"/>
        </w:rPr>
        <w:t>measurement and report</w:t>
      </w:r>
      <w:r>
        <w:rPr>
          <w:rFonts w:hint="eastAsia"/>
          <w:sz w:val="20"/>
        </w:rPr>
        <w:t xml:space="preserve"> and DU to DU </w:t>
      </w:r>
      <w:r>
        <w:rPr>
          <w:rFonts w:eastAsia="Calibri"/>
          <w:sz w:val="20"/>
        </w:rPr>
        <w:t>measurement and report</w:t>
      </w:r>
      <w:r>
        <w:rPr>
          <w:rFonts w:hint="eastAsia"/>
          <w:sz w:val="20"/>
        </w:rPr>
        <w:t xml:space="preserve"> are discussed in this section based on the summary and agreement in RAN1#104-e.</w:t>
      </w:r>
    </w:p>
    <w:p w:rsidR="00EA36FC" w:rsidRDefault="00841B19">
      <w:pPr>
        <w:widowControl w:val="0"/>
        <w:numPr>
          <w:ilvl w:val="0"/>
          <w:numId w:val="11"/>
        </w:numPr>
        <w:spacing w:before="120" w:after="120"/>
        <w:rPr>
          <w:sz w:val="20"/>
        </w:rPr>
      </w:pPr>
      <w:r>
        <w:rPr>
          <w:rFonts w:hint="eastAsia"/>
          <w:sz w:val="20"/>
        </w:rPr>
        <w:t xml:space="preserve">MT to MT CLI </w:t>
      </w:r>
      <w:r>
        <w:rPr>
          <w:rFonts w:eastAsia="Calibri"/>
          <w:sz w:val="20"/>
        </w:rPr>
        <w:t>measurement and report</w:t>
      </w:r>
    </w:p>
    <w:p w:rsidR="00EA36FC" w:rsidRDefault="00841B19">
      <w:pPr>
        <w:widowControl w:val="0"/>
        <w:spacing w:before="120" w:after="120"/>
        <w:rPr>
          <w:sz w:val="20"/>
        </w:rPr>
      </w:pPr>
      <w:r>
        <w:rPr>
          <w:sz w:val="20"/>
        </w:rPr>
        <w:t xml:space="preserve">In R16, for CLI of UE to UE, high layer defined </w:t>
      </w:r>
      <w:r>
        <w:rPr>
          <w:sz w:val="20"/>
        </w:rPr>
        <w:t>CLI</w:t>
      </w:r>
      <w:r>
        <w:rPr>
          <w:sz w:val="20"/>
        </w:rPr>
        <w:t xml:space="preserve"> </w:t>
      </w:r>
      <w:r>
        <w:rPr>
          <w:sz w:val="20"/>
        </w:rPr>
        <w:t>Resource</w:t>
      </w:r>
      <w:r>
        <w:rPr>
          <w:sz w:val="20"/>
        </w:rPr>
        <w:t xml:space="preserve"> by </w:t>
      </w:r>
      <w:r>
        <w:rPr>
          <w:i/>
          <w:iCs/>
          <w:sz w:val="20"/>
          <w:lang w:val="en-GB" w:eastAsia="en-GB"/>
        </w:rPr>
        <w:t>CLI-ResourceConfig-r16</w:t>
      </w:r>
      <w:r>
        <w:rPr>
          <w:sz w:val="20"/>
        </w:rPr>
        <w:t xml:space="preserve">, CLI measurement by </w:t>
      </w:r>
      <w:r>
        <w:rPr>
          <w:i/>
          <w:iCs/>
          <w:sz w:val="20"/>
          <w:lang w:val="en-GB" w:eastAsia="en-GB"/>
        </w:rPr>
        <w:t>MeasResultCLI-r16</w:t>
      </w:r>
      <w:r>
        <w:rPr>
          <w:sz w:val="20"/>
        </w:rPr>
        <w:t xml:space="preserve"> and CLI report</w:t>
      </w:r>
      <w:r>
        <w:rPr>
          <w:sz w:val="20"/>
        </w:rPr>
        <w:t xml:space="preserve"> by </w:t>
      </w:r>
      <w:r>
        <w:rPr>
          <w:i/>
          <w:iCs/>
          <w:sz w:val="20"/>
          <w:lang w:val="en-GB" w:eastAsia="en-GB"/>
        </w:rPr>
        <w:t>ReportConfigNR</w:t>
      </w:r>
      <w:r>
        <w:rPr>
          <w:sz w:val="20"/>
        </w:rPr>
        <w:t xml:space="preserve">, </w:t>
      </w:r>
      <w:r>
        <w:rPr>
          <w:sz w:val="20"/>
        </w:rPr>
        <w:t xml:space="preserve">IAB MT can be seen as a UE, and the defined CLI procedure can be reused for MT to MT </w:t>
      </w:r>
      <w:r>
        <w:rPr>
          <w:rFonts w:eastAsia="Calibri"/>
          <w:sz w:val="20"/>
        </w:rPr>
        <w:t>measurement and report</w:t>
      </w:r>
      <w:r>
        <w:rPr>
          <w:sz w:val="20"/>
        </w:rPr>
        <w:t>.</w:t>
      </w:r>
    </w:p>
    <w:p w:rsidR="00EA36FC" w:rsidRDefault="00333ED2">
      <w:pPr>
        <w:pStyle w:val="YJ-Proposal"/>
        <w:widowControl w:val="0"/>
        <w:spacing w:before="120" w:after="120"/>
        <w:rPr>
          <w:lang w:val="en-US" w:eastAsia="zh-CN"/>
        </w:rPr>
      </w:pPr>
      <w:bookmarkStart w:id="297" w:name="_Toc13233"/>
      <w:bookmarkStart w:id="298" w:name="_Toc14611"/>
      <w:bookmarkStart w:id="299" w:name="_Toc22472"/>
      <w:bookmarkStart w:id="300" w:name="_Toc14949"/>
      <w:bookmarkStart w:id="301" w:name="_Toc22351"/>
      <w:bookmarkStart w:id="302" w:name="_Toc13887"/>
      <w:bookmarkStart w:id="303" w:name="_Toc5987"/>
      <w:bookmarkStart w:id="304" w:name="_Toc32323"/>
      <w:bookmarkStart w:id="305" w:name="_Toc12064"/>
      <w:bookmarkStart w:id="306" w:name="_Toc4833"/>
      <w:bookmarkStart w:id="307" w:name="_Toc16903"/>
      <w:bookmarkStart w:id="308" w:name="_Toc29339"/>
      <w:bookmarkStart w:id="309" w:name="_Toc27490"/>
      <w:bookmarkStart w:id="310" w:name="_Toc27294"/>
      <w:bookmarkStart w:id="311" w:name="_Toc6151"/>
      <w:bookmarkStart w:id="312" w:name="_Toc32612"/>
      <w:bookmarkStart w:id="313" w:name="_Toc12144"/>
      <w:bookmarkStart w:id="314" w:name="_Toc26722"/>
      <w:bookmarkStart w:id="315" w:name="_Toc17102"/>
      <w:bookmarkStart w:id="316" w:name="_Toc29886"/>
      <w:bookmarkStart w:id="317" w:name="_Toc26699"/>
      <w:bookmarkStart w:id="318" w:name="_Toc71712016"/>
      <w:r>
        <w:rPr>
          <w:lang w:val="en-US" w:eastAsia="zh-CN"/>
        </w:rPr>
        <w:t>L</w:t>
      </w:r>
      <w:r w:rsidR="00841B19">
        <w:rPr>
          <w:rFonts w:hint="eastAsia"/>
          <w:lang w:val="en-US" w:eastAsia="zh-CN"/>
        </w:rPr>
        <w:t>egacy UE</w:t>
      </w:r>
      <w:r w:rsidR="00841B19">
        <w:rPr>
          <w:rFonts w:hint="eastAsia"/>
          <w:lang w:val="en-US" w:eastAsia="zh-CN"/>
        </w:rPr>
        <w:t xml:space="preserve"> to </w:t>
      </w:r>
      <w:r w:rsidR="00841B19">
        <w:rPr>
          <w:rFonts w:hint="eastAsia"/>
          <w:lang w:val="en-US" w:eastAsia="zh-CN"/>
        </w:rPr>
        <w:t>UE</w:t>
      </w:r>
      <w:r w:rsidR="00841B19">
        <w:rPr>
          <w:rFonts w:hint="eastAsia"/>
          <w:lang w:val="en-US" w:eastAsia="zh-CN"/>
        </w:rPr>
        <w:t xml:space="preserve"> </w:t>
      </w:r>
      <w:r w:rsidR="00841B19">
        <w:rPr>
          <w:rFonts w:hint="eastAsia"/>
          <w:lang w:val="en-US" w:eastAsia="zh-CN"/>
        </w:rPr>
        <w:t>CLI</w:t>
      </w:r>
      <w:r w:rsidR="00841B19">
        <w:rPr>
          <w:rFonts w:hint="eastAsia"/>
          <w:lang w:val="en-US" w:eastAsia="zh-CN"/>
        </w:rPr>
        <w:t xml:space="preserve"> procedure can be reused for MT to MT CLI</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00841B19">
        <w:rPr>
          <w:rFonts w:hint="eastAsia"/>
          <w:lang w:val="en-US" w:eastAsia="zh-CN"/>
        </w:rPr>
        <w:t>.</w:t>
      </w:r>
      <w:bookmarkEnd w:id="318"/>
    </w:p>
    <w:p w:rsidR="00EA36FC" w:rsidRDefault="00EA36FC">
      <w:pPr>
        <w:widowControl w:val="0"/>
        <w:spacing w:before="120" w:after="120"/>
        <w:rPr>
          <w:rFonts w:eastAsia="MS Mincho"/>
          <w:i/>
        </w:rPr>
      </w:pPr>
    </w:p>
    <w:p w:rsidR="00EA36FC" w:rsidRDefault="00841B19">
      <w:pPr>
        <w:widowControl w:val="0"/>
        <w:numPr>
          <w:ilvl w:val="0"/>
          <w:numId w:val="11"/>
        </w:numPr>
        <w:spacing w:before="120" w:after="120"/>
        <w:rPr>
          <w:rFonts w:eastAsia="Calibri"/>
          <w:sz w:val="20"/>
        </w:rPr>
      </w:pPr>
      <w:r>
        <w:rPr>
          <w:rFonts w:eastAsia="Calibri" w:hint="eastAsia"/>
          <w:sz w:val="20"/>
        </w:rPr>
        <w:t xml:space="preserve">DU to DU CLI </w:t>
      </w:r>
      <w:r>
        <w:rPr>
          <w:rFonts w:eastAsia="Calibri"/>
          <w:sz w:val="20"/>
        </w:rPr>
        <w:t>measurement</w:t>
      </w:r>
      <w:r>
        <w:rPr>
          <w:rFonts w:hint="eastAsia"/>
          <w:sz w:val="20"/>
        </w:rPr>
        <w:t xml:space="preserve"> and report</w:t>
      </w:r>
    </w:p>
    <w:p w:rsidR="00EA36FC" w:rsidRPr="00102A6F" w:rsidRDefault="00841B19">
      <w:pPr>
        <w:widowControl w:val="0"/>
        <w:spacing w:before="120" w:after="120"/>
        <w:rPr>
          <w:sz w:val="20"/>
        </w:rPr>
      </w:pPr>
      <w:r w:rsidRPr="00102A6F">
        <w:rPr>
          <w:rFonts w:hint="eastAsia"/>
          <w:sz w:val="20"/>
        </w:rPr>
        <w:t>In RAN1#104-e, three options</w:t>
      </w:r>
      <w:r w:rsidRPr="00102A6F">
        <w:rPr>
          <w:rFonts w:hint="eastAsia"/>
          <w:sz w:val="20"/>
        </w:rPr>
        <w:t xml:space="preserve"> are discussed for DU to DU measurement and report respectively.</w:t>
      </w:r>
    </w:p>
    <w:p w:rsidR="00EA36FC" w:rsidRPr="00102A6F" w:rsidRDefault="00841B19">
      <w:pPr>
        <w:widowControl w:val="0"/>
        <w:spacing w:before="120" w:after="120"/>
        <w:rPr>
          <w:sz w:val="20"/>
        </w:rPr>
      </w:pPr>
      <w:r w:rsidRPr="00102A6F">
        <w:rPr>
          <w:rFonts w:hint="eastAsia"/>
          <w:sz w:val="20"/>
        </w:rPr>
        <w:t>Option 1.1 and 2.1 is the simplest option without any enhancement</w:t>
      </w:r>
      <w:r w:rsidR="007564FE" w:rsidRPr="00102A6F">
        <w:rPr>
          <w:rFonts w:hint="eastAsia"/>
          <w:sz w:val="20"/>
        </w:rPr>
        <w:t xml:space="preserve"> from specification respective,</w:t>
      </w:r>
      <w:r w:rsidR="007564FE" w:rsidRPr="00102A6F">
        <w:rPr>
          <w:sz w:val="20"/>
        </w:rPr>
        <w:t xml:space="preserve"> it </w:t>
      </w:r>
      <w:r w:rsidRPr="00102A6F">
        <w:rPr>
          <w:rFonts w:hint="eastAsia"/>
          <w:sz w:val="20"/>
        </w:rPr>
        <w:t>means legacy DU implementation method</w:t>
      </w:r>
      <w:r w:rsidRPr="00102A6F">
        <w:rPr>
          <w:rFonts w:eastAsia="Calibri"/>
          <w:sz w:val="20"/>
        </w:rPr>
        <w:t xml:space="preserve"> </w:t>
      </w:r>
      <w:r w:rsidRPr="00102A6F">
        <w:rPr>
          <w:rFonts w:hint="eastAsia"/>
          <w:sz w:val="20"/>
        </w:rPr>
        <w:t>is reused. So in this section we mainly analyzes wh</w:t>
      </w:r>
      <w:r w:rsidRPr="00102A6F">
        <w:rPr>
          <w:rFonts w:hint="eastAsia"/>
          <w:sz w:val="20"/>
        </w:rPr>
        <w:t>ether it is beneficial to adopt an enhanced option other than option1.1.</w:t>
      </w:r>
    </w:p>
    <w:p w:rsidR="00EA36FC" w:rsidRPr="00102A6F" w:rsidRDefault="00841B19">
      <w:pPr>
        <w:widowControl w:val="0"/>
        <w:spacing w:before="120" w:after="120"/>
        <w:rPr>
          <w:sz w:val="20"/>
        </w:rPr>
      </w:pPr>
      <w:r w:rsidRPr="00102A6F">
        <w:rPr>
          <w:sz w:val="20"/>
        </w:rPr>
        <w:t>For option1.2 and 2.2, it is proposed whether enhanced R16 RIM can be used</w:t>
      </w:r>
      <w:r w:rsidRPr="00102A6F">
        <w:rPr>
          <w:rFonts w:hint="eastAsia"/>
          <w:sz w:val="20"/>
        </w:rPr>
        <w:t xml:space="preserve"> for IAB DU to DU CLI</w:t>
      </w:r>
      <w:r w:rsidRPr="00102A6F">
        <w:rPr>
          <w:sz w:val="20"/>
        </w:rPr>
        <w:t>, R16 RIM procedure are specified to deal with the remote interference measurement and c</w:t>
      </w:r>
      <w:r w:rsidRPr="00102A6F">
        <w:rPr>
          <w:sz w:val="20"/>
        </w:rPr>
        <w:t xml:space="preserve">oordination. The victim gNB will begin the RIM procedure after detecting a </w:t>
      </w:r>
      <w:r w:rsidRPr="00102A6F">
        <w:rPr>
          <w:sz w:val="20"/>
          <w:lang w:val="en"/>
        </w:rPr>
        <w:t>"sloping" characteristic</w:t>
      </w:r>
      <w:r w:rsidRPr="00102A6F">
        <w:rPr>
          <w:sz w:val="20"/>
        </w:rPr>
        <w:t xml:space="preserve"> of IOT, which is caused by the </w:t>
      </w:r>
      <w:r w:rsidRPr="00102A6F">
        <w:rPr>
          <w:sz w:val="20"/>
          <w:lang w:val="en"/>
        </w:rPr>
        <w:t>atmospheric ducting phenomenon</w:t>
      </w:r>
      <w:r w:rsidR="007564FE" w:rsidRPr="00102A6F">
        <w:rPr>
          <w:rFonts w:hint="eastAsia"/>
          <w:sz w:val="20"/>
        </w:rPr>
        <w:t>.</w:t>
      </w:r>
    </w:p>
    <w:p w:rsidR="00EA36FC" w:rsidRPr="00102A6F" w:rsidRDefault="00841B19">
      <w:pPr>
        <w:widowControl w:val="0"/>
        <w:spacing w:before="120" w:after="120"/>
        <w:rPr>
          <w:sz w:val="20"/>
        </w:rPr>
      </w:pPr>
      <w:r w:rsidRPr="00102A6F">
        <w:rPr>
          <w:sz w:val="20"/>
        </w:rPr>
        <w:t xml:space="preserve">After detecting the IOT </w:t>
      </w:r>
      <w:r w:rsidRPr="00102A6F">
        <w:rPr>
          <w:sz w:val="20"/>
          <w:lang w:val="en"/>
        </w:rPr>
        <w:t>"sloping"</w:t>
      </w:r>
      <w:r w:rsidRPr="00102A6F">
        <w:rPr>
          <w:sz w:val="20"/>
        </w:rPr>
        <w:t>, the victim gNB will transmit the RIM-RS to inform the agg</w:t>
      </w:r>
      <w:r w:rsidRPr="00102A6F">
        <w:rPr>
          <w:sz w:val="20"/>
        </w:rPr>
        <w:t xml:space="preserve">ressor remote interference happens. Then the aggressor may receive the RIM-RS and report the RIM related information to OAM and further to apply the remote interference mitigation scheme. </w:t>
      </w:r>
    </w:p>
    <w:p w:rsidR="00EA36FC" w:rsidRPr="00102A6F" w:rsidRDefault="00841B19">
      <w:pPr>
        <w:widowControl w:val="0"/>
        <w:spacing w:before="120" w:after="120"/>
        <w:rPr>
          <w:sz w:val="20"/>
        </w:rPr>
      </w:pPr>
      <w:r w:rsidRPr="00102A6F">
        <w:rPr>
          <w:sz w:val="20"/>
        </w:rPr>
        <w:t>As can be seen, leg</w:t>
      </w:r>
      <w:r w:rsidR="007564FE" w:rsidRPr="00102A6F">
        <w:rPr>
          <w:sz w:val="20"/>
        </w:rPr>
        <w:t>acy RIM method is hard to reuse</w:t>
      </w:r>
      <w:r w:rsidRPr="00102A6F">
        <w:rPr>
          <w:sz w:val="20"/>
        </w:rPr>
        <w:t xml:space="preserve"> for IAB DU to D</w:t>
      </w:r>
      <w:r w:rsidRPr="00102A6F">
        <w:rPr>
          <w:sz w:val="20"/>
        </w:rPr>
        <w:t xml:space="preserve">U CLI. For one thing, in RIM procedure, the interference are remote where </w:t>
      </w:r>
      <w:r w:rsidRPr="00102A6F">
        <w:rPr>
          <w:sz w:val="20"/>
          <w:lang w:val="en"/>
        </w:rPr>
        <w:t>distance between the victim and aggressor ranges from 64 km to 400 km</w:t>
      </w:r>
      <w:r w:rsidRPr="00102A6F">
        <w:rPr>
          <w:sz w:val="20"/>
        </w:rPr>
        <w:t>, so that the triggering mechanism “</w:t>
      </w:r>
      <w:r w:rsidRPr="00102A6F">
        <w:rPr>
          <w:sz w:val="20"/>
          <w:lang w:val="en"/>
        </w:rPr>
        <w:t>a</w:t>
      </w:r>
      <w:r w:rsidRPr="00102A6F">
        <w:rPr>
          <w:sz w:val="20"/>
        </w:rPr>
        <w:t xml:space="preserve"> </w:t>
      </w:r>
      <w:r w:rsidRPr="00102A6F">
        <w:rPr>
          <w:sz w:val="20"/>
          <w:lang w:val="en"/>
        </w:rPr>
        <w:t>sloping characteristic</w:t>
      </w:r>
      <w:r w:rsidRPr="00102A6F">
        <w:rPr>
          <w:sz w:val="20"/>
        </w:rPr>
        <w:t xml:space="preserve"> of IOT” can work in RIM scenario while it may not wo</w:t>
      </w:r>
      <w:r w:rsidRPr="00102A6F">
        <w:rPr>
          <w:sz w:val="20"/>
        </w:rPr>
        <w:t>rk in IAB scenario. For another thing, the measurement result from DU in RIM method are usually reported to OAM which will take a long time, this may not be appropriate for IAB.</w:t>
      </w:r>
    </w:p>
    <w:p w:rsidR="00EA36FC" w:rsidRPr="00102A6F" w:rsidRDefault="00841B19">
      <w:pPr>
        <w:widowControl w:val="0"/>
        <w:spacing w:before="120" w:after="120"/>
        <w:rPr>
          <w:sz w:val="20"/>
        </w:rPr>
      </w:pPr>
      <w:r w:rsidRPr="00102A6F">
        <w:rPr>
          <w:sz w:val="20"/>
        </w:rPr>
        <w:t>To reuse the R16 RIM method</w:t>
      </w:r>
      <w:r w:rsidRPr="00102A6F">
        <w:rPr>
          <w:rFonts w:hint="eastAsia"/>
          <w:sz w:val="20"/>
        </w:rPr>
        <w:t xml:space="preserve"> for DU to DU measurement and report in IAB scenari</w:t>
      </w:r>
      <w:r w:rsidRPr="00102A6F">
        <w:rPr>
          <w:rFonts w:hint="eastAsia"/>
          <w:sz w:val="20"/>
        </w:rPr>
        <w:t>o</w:t>
      </w:r>
      <w:r w:rsidR="007564FE" w:rsidRPr="00102A6F">
        <w:rPr>
          <w:sz w:val="20"/>
        </w:rPr>
        <w:t xml:space="preserve"> </w:t>
      </w:r>
      <w:r w:rsidRPr="00102A6F">
        <w:rPr>
          <w:rFonts w:hint="eastAsia"/>
          <w:sz w:val="20"/>
        </w:rPr>
        <w:t>(excluding the remote interference)</w:t>
      </w:r>
      <w:r w:rsidRPr="00102A6F">
        <w:rPr>
          <w:sz w:val="20"/>
        </w:rPr>
        <w:t>, enhancement of the triggering mechanism and the report procedure need to be considered.</w:t>
      </w:r>
      <w:r w:rsidRPr="00102A6F">
        <w:rPr>
          <w:rFonts w:hint="eastAsia"/>
          <w:sz w:val="20"/>
        </w:rPr>
        <w:t xml:space="preserve"> It should be noted that for remote interference for IAB DU measurement and report, legacy RIM can</w:t>
      </w:r>
      <w:r w:rsidRPr="00102A6F">
        <w:rPr>
          <w:sz w:val="20"/>
        </w:rPr>
        <w:t xml:space="preserve"> </w:t>
      </w:r>
      <w:r w:rsidRPr="00102A6F">
        <w:rPr>
          <w:rFonts w:hint="eastAsia"/>
          <w:sz w:val="20"/>
        </w:rPr>
        <w:t>still be reused.</w:t>
      </w:r>
    </w:p>
    <w:p w:rsidR="00EA36FC" w:rsidRPr="00102A6F" w:rsidRDefault="00841B19">
      <w:pPr>
        <w:widowControl w:val="0"/>
        <w:spacing w:before="120" w:after="120"/>
        <w:rPr>
          <w:sz w:val="20"/>
        </w:rPr>
      </w:pPr>
      <w:r w:rsidRPr="00102A6F">
        <w:rPr>
          <w:sz w:val="20"/>
        </w:rPr>
        <w:t xml:space="preserve">For option 1.3 </w:t>
      </w:r>
      <w:r w:rsidRPr="00102A6F">
        <w:rPr>
          <w:sz w:val="20"/>
        </w:rPr>
        <w:t>and 2.3, it may be the most difficult option to apply. Although MT and DU are co-located, but they may not have the same antenna and beam capability, the measurement at MT side and DU side can differ widely. It is har</w:t>
      </w:r>
      <w:r w:rsidRPr="00102A6F">
        <w:rPr>
          <w:sz w:val="20"/>
        </w:rPr>
        <w:t xml:space="preserve">d to </w:t>
      </w:r>
      <w:hyperlink r:id="rId9" w:tgtFrame="https://www.baidu.com/_blank" w:history="1">
        <w:r w:rsidRPr="00102A6F">
          <w:rPr>
            <w:sz w:val="20"/>
          </w:rPr>
          <w:t>estimate</w:t>
        </w:r>
      </w:hyperlink>
      <w:r w:rsidRPr="00102A6F">
        <w:rPr>
          <w:sz w:val="20"/>
        </w:rPr>
        <w:t xml:space="preserve"> the accuracy if DU side measurement is instead of co- located MT side measurement, accordingl</w:t>
      </w:r>
      <w:r w:rsidRPr="00102A6F">
        <w:rPr>
          <w:sz w:val="20"/>
        </w:rPr>
        <w:t>y the MT base</w:t>
      </w:r>
      <w:r w:rsidR="007564FE" w:rsidRPr="00102A6F">
        <w:rPr>
          <w:sz w:val="20"/>
        </w:rPr>
        <w:t xml:space="preserve">d measurement report need to </w:t>
      </w:r>
      <w:r w:rsidRPr="00102A6F">
        <w:rPr>
          <w:sz w:val="20"/>
        </w:rPr>
        <w:t>be justified further.</w:t>
      </w:r>
    </w:p>
    <w:p w:rsidR="00EA36FC" w:rsidRPr="00102A6F" w:rsidRDefault="00841B19">
      <w:pPr>
        <w:widowControl w:val="0"/>
        <w:spacing w:before="120" w:after="120"/>
        <w:rPr>
          <w:sz w:val="20"/>
        </w:rPr>
      </w:pPr>
      <w:r w:rsidRPr="00102A6F">
        <w:rPr>
          <w:rFonts w:hint="eastAsia"/>
          <w:sz w:val="20"/>
        </w:rPr>
        <w:t>From the analysis above, it can be seen benefit of other options other than 1.1 and 2.1 is not so obvious, so for DU to DU CLI measurement, option 1.1 is preferred, for DU CLI report, optio</w:t>
      </w:r>
      <w:r w:rsidRPr="00102A6F">
        <w:rPr>
          <w:rFonts w:hint="eastAsia"/>
          <w:sz w:val="20"/>
        </w:rPr>
        <w:t>n 2.1 is preferred.</w:t>
      </w:r>
    </w:p>
    <w:p w:rsidR="00EA36FC" w:rsidRDefault="00841B19">
      <w:pPr>
        <w:pStyle w:val="YJ-Proposal"/>
        <w:widowControl w:val="0"/>
        <w:spacing w:before="120" w:after="120"/>
        <w:rPr>
          <w:lang w:val="en-US" w:eastAsia="zh-CN"/>
        </w:rPr>
      </w:pPr>
      <w:bookmarkStart w:id="319" w:name="_Toc26632"/>
      <w:bookmarkStart w:id="320" w:name="_Toc4418"/>
      <w:bookmarkStart w:id="321" w:name="_Toc19476"/>
      <w:bookmarkStart w:id="322" w:name="_Toc849"/>
      <w:bookmarkStart w:id="323" w:name="_Toc8764"/>
      <w:bookmarkStart w:id="324" w:name="_Toc16931"/>
      <w:bookmarkStart w:id="325" w:name="_Toc28058"/>
      <w:bookmarkStart w:id="326" w:name="_Toc21937"/>
      <w:bookmarkStart w:id="327" w:name="_Toc6082"/>
      <w:bookmarkStart w:id="328" w:name="_Toc21276"/>
      <w:bookmarkStart w:id="329" w:name="_Toc27228"/>
      <w:bookmarkStart w:id="330" w:name="_Toc120"/>
      <w:bookmarkStart w:id="331" w:name="_Toc14080"/>
      <w:bookmarkStart w:id="332" w:name="_Toc22568"/>
      <w:bookmarkStart w:id="333" w:name="_Toc10700"/>
      <w:bookmarkStart w:id="334" w:name="_Toc31023"/>
      <w:bookmarkStart w:id="335" w:name="_Toc14159"/>
      <w:bookmarkStart w:id="336" w:name="_Toc25100"/>
      <w:bookmarkStart w:id="337" w:name="_Toc21409"/>
      <w:bookmarkStart w:id="338" w:name="_Toc3956"/>
      <w:bookmarkStart w:id="339" w:name="_Toc8921"/>
      <w:bookmarkStart w:id="340" w:name="_Toc71712017"/>
      <w:r>
        <w:rPr>
          <w:rFonts w:hint="eastAsia"/>
          <w:lang w:val="en-US" w:eastAsia="zh-CN"/>
        </w:rPr>
        <w:t>DU to DU CLI measurement and report are left to DU implementation</w:t>
      </w:r>
      <w:r w:rsidR="007564FE">
        <w:rPr>
          <w:lang w:val="en-US" w:eastAsia="zh-CN"/>
        </w:rPr>
        <w:t xml:space="preserve"> </w:t>
      </w:r>
      <w:r>
        <w:rPr>
          <w:rFonts w:hint="eastAsia"/>
          <w:lang w:val="en-US" w:eastAsia="zh-CN"/>
        </w:rPr>
        <w:t xml:space="preserve">(excluding the remote interference </w:t>
      </w:r>
      <w:r>
        <w:rPr>
          <w:rFonts w:hint="eastAsia"/>
          <w:lang w:val="en-US" w:eastAsia="zh-CN"/>
        </w:rPr>
        <w:t>measurement and report</w:t>
      </w:r>
      <w:r>
        <w:rPr>
          <w:rFonts w:hint="eastAsia"/>
          <w:lang w:val="en-US" w:eastAsia="zh-CN"/>
        </w:rPr>
        <w:t>)</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Pr>
          <w:rFonts w:hint="eastAsia"/>
          <w:lang w:val="en-US" w:eastAsia="zh-CN"/>
        </w:rPr>
        <w:t>.</w:t>
      </w:r>
      <w:bookmarkEnd w:id="340"/>
    </w:p>
    <w:p w:rsidR="00EA36FC" w:rsidRDefault="00EA36FC">
      <w:pPr>
        <w:widowControl w:val="0"/>
        <w:spacing w:before="120" w:after="120"/>
      </w:pPr>
    </w:p>
    <w:p w:rsidR="00EA36FC" w:rsidRDefault="00841B19">
      <w:pPr>
        <w:widowControl w:val="0"/>
        <w:numPr>
          <w:ilvl w:val="0"/>
          <w:numId w:val="11"/>
        </w:numPr>
        <w:spacing w:before="120" w:after="120"/>
        <w:rPr>
          <w:sz w:val="20"/>
        </w:rPr>
      </w:pPr>
      <w:r>
        <w:rPr>
          <w:rFonts w:hint="eastAsia"/>
          <w:sz w:val="20"/>
        </w:rPr>
        <w:t>I</w:t>
      </w:r>
      <w:r>
        <w:rPr>
          <w:rFonts w:eastAsia="Calibri"/>
          <w:sz w:val="20"/>
        </w:rPr>
        <w:t>nterference mitigation</w:t>
      </w:r>
      <w:r>
        <w:rPr>
          <w:rFonts w:hint="eastAsia"/>
          <w:sz w:val="20"/>
        </w:rPr>
        <w:t xml:space="preserve"> </w:t>
      </w:r>
    </w:p>
    <w:p w:rsidR="00EA36FC" w:rsidRDefault="00841B19">
      <w:pPr>
        <w:widowControl w:val="0"/>
        <w:spacing w:before="120" w:after="120"/>
        <w:rPr>
          <w:sz w:val="20"/>
        </w:rPr>
      </w:pPr>
      <w:r>
        <w:rPr>
          <w:sz w:val="20"/>
        </w:rPr>
        <w:t>For a</w:t>
      </w:r>
      <w:r>
        <w:rPr>
          <w:sz w:val="20"/>
        </w:rPr>
        <w:t xml:space="preserve"> given multiplexing mode, there may need some beam information coordination between backh</w:t>
      </w:r>
      <w:r w:rsidR="007564FE">
        <w:rPr>
          <w:sz w:val="20"/>
        </w:rPr>
        <w:t>au</w:t>
      </w:r>
      <w:r>
        <w:rPr>
          <w:sz w:val="20"/>
        </w:rPr>
        <w:t xml:space="preserve">l link and access link to alleviate or </w:t>
      </w:r>
      <w:r>
        <w:rPr>
          <w:rFonts w:eastAsia="Calibri"/>
          <w:sz w:val="20"/>
        </w:rPr>
        <w:t>mitigat</w:t>
      </w:r>
      <w:r>
        <w:rPr>
          <w:sz w:val="20"/>
        </w:rPr>
        <w:t>e the interference</w:t>
      </w:r>
      <w:r>
        <w:rPr>
          <w:sz w:val="20"/>
        </w:rPr>
        <w:t>, as it has been agreed that no special specification is for SI, so in this section simultaneously Tx</w:t>
      </w:r>
      <w:r>
        <w:rPr>
          <w:sz w:val="20"/>
        </w:rPr>
        <w:t xml:space="preserve"> and simultaneously Rx are </w:t>
      </w:r>
      <w:r>
        <w:rPr>
          <w:rFonts w:hint="eastAsia"/>
          <w:sz w:val="20"/>
        </w:rPr>
        <w:t xml:space="preserve">the </w:t>
      </w:r>
      <w:r>
        <w:rPr>
          <w:sz w:val="20"/>
        </w:rPr>
        <w:t xml:space="preserve">mainly </w:t>
      </w:r>
      <w:r>
        <w:rPr>
          <w:rFonts w:hint="eastAsia"/>
          <w:sz w:val="20"/>
        </w:rPr>
        <w:t xml:space="preserve">scenario to be </w:t>
      </w:r>
      <w:r>
        <w:rPr>
          <w:sz w:val="20"/>
        </w:rPr>
        <w:t>discussed.</w:t>
      </w:r>
    </w:p>
    <w:p w:rsidR="00EA36FC" w:rsidRDefault="00841B19">
      <w:pPr>
        <w:widowControl w:val="0"/>
        <w:spacing w:before="120" w:after="120"/>
        <w:rPr>
          <w:sz w:val="20"/>
        </w:rPr>
      </w:pPr>
      <w:r>
        <w:rPr>
          <w:sz w:val="20"/>
        </w:rPr>
        <w:t xml:space="preserve">After beam measurement, IAB node can report its desired beams in DL and UL to parent node, this report can be based on RRC signal. Based on the reported information, parent node will indicate </w:t>
      </w:r>
      <w:r>
        <w:rPr>
          <w:sz w:val="20"/>
        </w:rPr>
        <w:t xml:space="preserve">the applicable beams in UL or DL using a DCI 2_0/DCI2_5 like signal during a period, and further IAB DU can accommodate its DU beams by implementation, in order to alleviate or </w:t>
      </w:r>
      <w:r>
        <w:rPr>
          <w:rFonts w:eastAsia="Calibri"/>
          <w:sz w:val="20"/>
        </w:rPr>
        <w:t>mitigat</w:t>
      </w:r>
      <w:r>
        <w:rPr>
          <w:sz w:val="20"/>
        </w:rPr>
        <w:t>e the interference between backh</w:t>
      </w:r>
      <w:r w:rsidR="007564FE">
        <w:rPr>
          <w:sz w:val="20"/>
        </w:rPr>
        <w:t>au</w:t>
      </w:r>
      <w:r>
        <w:rPr>
          <w:sz w:val="20"/>
        </w:rPr>
        <w:t>l link and access link, IAB node is no</w:t>
      </w:r>
      <w:r>
        <w:rPr>
          <w:sz w:val="20"/>
        </w:rPr>
        <w:t>t expected that the beam indication</w:t>
      </w:r>
      <w:r w:rsidR="007564FE">
        <w:rPr>
          <w:sz w:val="20"/>
        </w:rPr>
        <w:t xml:space="preserve"> </w:t>
      </w:r>
      <w:r>
        <w:rPr>
          <w:sz w:val="20"/>
        </w:rPr>
        <w:t xml:space="preserve">(TCI or SRI) in legacy DCI is not consistent with </w:t>
      </w:r>
      <w:r>
        <w:rPr>
          <w:sz w:val="20"/>
        </w:rPr>
        <w:t xml:space="preserve">the DCI 2_0/DCI2_5 like </w:t>
      </w:r>
      <w:r>
        <w:rPr>
          <w:sz w:val="20"/>
        </w:rPr>
        <w:t>beam applicable DCI.</w:t>
      </w:r>
    </w:p>
    <w:p w:rsidR="00EA36FC" w:rsidRDefault="00841B19">
      <w:pPr>
        <w:pStyle w:val="YJ-Proposal"/>
        <w:widowControl w:val="0"/>
        <w:spacing w:before="120" w:after="120"/>
        <w:rPr>
          <w:lang w:val="en-US" w:eastAsia="zh-CN"/>
        </w:rPr>
      </w:pPr>
      <w:bookmarkStart w:id="341" w:name="_Toc1284"/>
      <w:bookmarkStart w:id="342" w:name="_Toc28416"/>
      <w:bookmarkStart w:id="343" w:name="_Toc30525"/>
      <w:bookmarkStart w:id="344" w:name="_Toc3673"/>
      <w:bookmarkStart w:id="345" w:name="_Toc24773"/>
      <w:bookmarkStart w:id="346" w:name="_Toc30164"/>
      <w:bookmarkStart w:id="347" w:name="_Toc23358"/>
      <w:bookmarkStart w:id="348" w:name="_Toc17993"/>
      <w:bookmarkStart w:id="349" w:name="_Toc28332"/>
      <w:bookmarkStart w:id="350" w:name="_Toc27834"/>
      <w:bookmarkStart w:id="351" w:name="_Toc7616"/>
      <w:bookmarkStart w:id="352" w:name="_Toc2282"/>
      <w:bookmarkStart w:id="353" w:name="_Toc9805"/>
      <w:bookmarkStart w:id="354" w:name="_Toc28431"/>
      <w:bookmarkStart w:id="355" w:name="_Toc29958"/>
      <w:bookmarkStart w:id="356" w:name="_Toc29800"/>
      <w:bookmarkStart w:id="357" w:name="_Toc14413"/>
      <w:bookmarkStart w:id="358" w:name="_Toc9360"/>
      <w:bookmarkStart w:id="359" w:name="_Toc14398"/>
      <w:bookmarkStart w:id="360" w:name="_Toc27692"/>
      <w:bookmarkStart w:id="361" w:name="_Toc8221"/>
      <w:bookmarkStart w:id="362" w:name="_Toc71712018"/>
      <w:r>
        <w:rPr>
          <w:rFonts w:hint="eastAsia"/>
          <w:lang w:val="en-US" w:eastAsia="zh-CN"/>
        </w:rPr>
        <w:t xml:space="preserve">DCI 2_0/DCI2_5 like </w:t>
      </w:r>
      <w:r>
        <w:rPr>
          <w:rFonts w:hint="eastAsia"/>
          <w:lang w:val="en-US" w:eastAsia="zh-CN"/>
        </w:rPr>
        <w:t>beam applicable DCI is used to indicate the IAB applicable beams in a set of slots.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rsidR="00EA36FC" w:rsidRDefault="00EA36FC">
      <w:pPr>
        <w:pStyle w:val="YJ-Proposal"/>
        <w:widowControl w:val="0"/>
        <w:numPr>
          <w:ilvl w:val="0"/>
          <w:numId w:val="0"/>
        </w:numPr>
        <w:spacing w:before="120" w:after="120"/>
        <w:rPr>
          <w:rFonts w:cs="Times"/>
          <w:lang w:val="en-US" w:eastAsia="zh-CN"/>
        </w:rPr>
      </w:pPr>
    </w:p>
    <w:p w:rsidR="00EA36FC" w:rsidRDefault="00841B19">
      <w:pPr>
        <w:pStyle w:val="1"/>
        <w:keepNext w:val="0"/>
        <w:keepLines w:val="0"/>
        <w:widowControl w:val="0"/>
        <w:spacing w:before="120" w:after="120"/>
        <w:ind w:left="0"/>
        <w:rPr>
          <w:rFonts w:eastAsia="宋体"/>
        </w:rPr>
      </w:pPr>
      <w:r>
        <w:rPr>
          <w:rFonts w:eastAsia="宋体" w:hint="eastAsia"/>
        </w:rPr>
        <w:t>Conclusion</w:t>
      </w:r>
    </w:p>
    <w:p w:rsidR="00EA36FC" w:rsidRDefault="00841B19">
      <w:pPr>
        <w:widowControl w:val="0"/>
        <w:tabs>
          <w:tab w:val="left" w:pos="2520"/>
        </w:tabs>
        <w:spacing w:before="120" w:after="120"/>
        <w:rPr>
          <w:sz w:val="20"/>
        </w:rPr>
      </w:pPr>
      <w:r>
        <w:rPr>
          <w:rFonts w:hint="eastAsia"/>
          <w:sz w:val="20"/>
        </w:rPr>
        <w:t xml:space="preserve">According </w:t>
      </w:r>
      <w:r>
        <w:rPr>
          <w:rFonts w:hint="eastAsia"/>
          <w:sz w:val="20"/>
        </w:rPr>
        <w:t>to the discussion above, we provide the following proposal</w:t>
      </w:r>
      <w:r>
        <w:rPr>
          <w:sz w:val="20"/>
        </w:rPr>
        <w:t>s</w:t>
      </w:r>
      <w:r>
        <w:rPr>
          <w:rFonts w:hint="eastAsia"/>
          <w:sz w:val="20"/>
        </w:rPr>
        <w:t>:</w:t>
      </w:r>
    </w:p>
    <w:bookmarkStart w:id="363" w:name="_GoBack"/>
    <w:bookmarkEnd w:id="363"/>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r>
        <w:fldChar w:fldCharType="begin"/>
      </w:r>
      <w:r>
        <w:instrText>TOC \n  \t "YJ-Proposal,1,sub-proposal,2,3rd level proposal,3" \h</w:instrText>
      </w:r>
      <w:r>
        <w:fldChar w:fldCharType="separate"/>
      </w:r>
      <w:hyperlink w:anchor="_Toc71712001" w:history="1">
        <w:r w:rsidRPr="000A7D0E">
          <w:rPr>
            <w:rStyle w:val="af1"/>
            <w:rFonts w:eastAsia="宋体"/>
            <w:noProof/>
          </w:rPr>
          <w:t>Proposal 1:</w:t>
        </w:r>
        <w:r>
          <w:rPr>
            <w:rFonts w:asciiTheme="minorHAnsi" w:hAnsiTheme="minorHAnsi" w:cstheme="minorBidi"/>
            <w:b w:val="0"/>
            <w:i w:val="0"/>
            <w:noProof/>
            <w:sz w:val="21"/>
            <w:szCs w:val="22"/>
          </w:rPr>
          <w:tab/>
        </w:r>
        <w:r w:rsidRPr="000A7D0E">
          <w:rPr>
            <w:rStyle w:val="af1"/>
            <w:rFonts w:cs="Times"/>
            <w:noProof/>
          </w:rPr>
          <w:t>The timing mode for IAB-node should be controlled or indicated by its parent node.</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02" w:history="1">
        <w:r w:rsidRPr="000A7D0E">
          <w:rPr>
            <w:rStyle w:val="af1"/>
            <w:rFonts w:eastAsia="宋体"/>
            <w:noProof/>
          </w:rPr>
          <w:t>Proposal 2:</w:t>
        </w:r>
        <w:r>
          <w:rPr>
            <w:rFonts w:asciiTheme="minorHAnsi" w:hAnsiTheme="minorHAnsi" w:cstheme="minorBidi"/>
            <w:b w:val="0"/>
            <w:i w:val="0"/>
            <w:noProof/>
            <w:sz w:val="21"/>
            <w:szCs w:val="22"/>
          </w:rPr>
          <w:tab/>
        </w:r>
        <w:r w:rsidRPr="000A7D0E">
          <w:rPr>
            <w:rStyle w:val="af1"/>
            <w:rFonts w:cs="Times"/>
            <w:noProof/>
          </w:rPr>
          <w:t>Timing mode does not have to be restricted to certain resources.</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03" w:history="1">
        <w:r w:rsidRPr="000A7D0E">
          <w:rPr>
            <w:rStyle w:val="af1"/>
            <w:rFonts w:eastAsia="宋体"/>
            <w:noProof/>
          </w:rPr>
          <w:t>Proposal 3:</w:t>
        </w:r>
        <w:r>
          <w:rPr>
            <w:rFonts w:asciiTheme="minorHAnsi" w:hAnsiTheme="minorHAnsi" w:cstheme="minorBidi"/>
            <w:b w:val="0"/>
            <w:i w:val="0"/>
            <w:noProof/>
            <w:sz w:val="21"/>
            <w:szCs w:val="22"/>
          </w:rPr>
          <w:tab/>
        </w:r>
        <w:r w:rsidRPr="000A7D0E">
          <w:rPr>
            <w:rStyle w:val="af1"/>
            <w:rFonts w:cs="Times"/>
            <w:noProof/>
          </w:rPr>
          <w:t>When to switch timing mode is left to the parent node. The following switching mechanism could be further down selection:</w:t>
        </w:r>
      </w:hyperlink>
    </w:p>
    <w:p w:rsidR="00841B19" w:rsidRDefault="00841B19">
      <w:pPr>
        <w:pStyle w:val="21"/>
        <w:tabs>
          <w:tab w:val="left" w:pos="862"/>
          <w:tab w:val="right" w:leader="dot" w:pos="9650"/>
        </w:tabs>
        <w:spacing w:before="120" w:after="120"/>
        <w:ind w:left="420"/>
        <w:rPr>
          <w:rFonts w:asciiTheme="minorHAnsi" w:eastAsiaTheme="minorEastAsia" w:hAnsiTheme="minorHAnsi" w:cstheme="minorBidi"/>
          <w:b w:val="0"/>
          <w:i w:val="0"/>
          <w:noProof/>
          <w:sz w:val="21"/>
          <w:szCs w:val="22"/>
        </w:rPr>
      </w:pPr>
      <w:hyperlink w:anchor="_Toc71712004" w:history="1">
        <w:r w:rsidRPr="000A7D0E">
          <w:rPr>
            <w:rStyle w:val="af1"/>
            <w:rFonts w:ascii="Arial" w:hAnsi="Arial" w:cs="Arial"/>
            <w:noProof/>
          </w:rPr>
          <w:t>•</w:t>
        </w:r>
        <w:r>
          <w:rPr>
            <w:rFonts w:asciiTheme="minorHAnsi" w:eastAsiaTheme="minorEastAsia" w:hAnsiTheme="minorHAnsi" w:cstheme="minorBidi"/>
            <w:b w:val="0"/>
            <w:i w:val="0"/>
            <w:noProof/>
            <w:sz w:val="21"/>
            <w:szCs w:val="22"/>
          </w:rPr>
          <w:tab/>
        </w:r>
        <w:r w:rsidRPr="000A7D0E">
          <w:rPr>
            <w:rStyle w:val="af1"/>
            <w:noProof/>
          </w:rPr>
          <w:t xml:space="preserve">Option 1: Parent </w:t>
        </w:r>
        <w:r w:rsidRPr="000A7D0E">
          <w:rPr>
            <w:rStyle w:val="af1"/>
            <w:rFonts w:eastAsia="Calibri"/>
            <w:noProof/>
          </w:rPr>
          <w:t xml:space="preserve">node </w:t>
        </w:r>
        <w:r w:rsidRPr="000A7D0E">
          <w:rPr>
            <w:rStyle w:val="af1"/>
            <w:noProof/>
          </w:rPr>
          <w:t>explicitly switches the timing mode or implicitly changes the usage/indication multiplexing modes, i.e., dominating the timing mode itself to operate or stop</w:t>
        </w:r>
      </w:hyperlink>
    </w:p>
    <w:p w:rsidR="00841B19" w:rsidRDefault="00841B19">
      <w:pPr>
        <w:pStyle w:val="21"/>
        <w:tabs>
          <w:tab w:val="left" w:pos="862"/>
          <w:tab w:val="right" w:leader="dot" w:pos="9650"/>
        </w:tabs>
        <w:spacing w:before="120" w:after="120"/>
        <w:ind w:left="420"/>
        <w:rPr>
          <w:rFonts w:asciiTheme="minorHAnsi" w:eastAsiaTheme="minorEastAsia" w:hAnsiTheme="minorHAnsi" w:cstheme="minorBidi"/>
          <w:b w:val="0"/>
          <w:i w:val="0"/>
          <w:noProof/>
          <w:sz w:val="21"/>
          <w:szCs w:val="22"/>
        </w:rPr>
      </w:pPr>
      <w:hyperlink w:anchor="_Toc71712005" w:history="1">
        <w:r w:rsidRPr="000A7D0E">
          <w:rPr>
            <w:rStyle w:val="af1"/>
            <w:rFonts w:ascii="Arial" w:hAnsi="Arial" w:cs="Arial"/>
            <w:noProof/>
          </w:rPr>
          <w:t>•</w:t>
        </w:r>
        <w:r>
          <w:rPr>
            <w:rFonts w:asciiTheme="minorHAnsi" w:eastAsiaTheme="minorEastAsia" w:hAnsiTheme="minorHAnsi" w:cstheme="minorBidi"/>
            <w:b w:val="0"/>
            <w:i w:val="0"/>
            <w:noProof/>
            <w:sz w:val="21"/>
            <w:szCs w:val="22"/>
          </w:rPr>
          <w:tab/>
        </w:r>
        <w:r w:rsidRPr="000A7D0E">
          <w:rPr>
            <w:rStyle w:val="af1"/>
            <w:noProof/>
          </w:rPr>
          <w:t>Option 2: Parent node only switches the UL-Tx timing involved in timing mode</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06" w:history="1">
        <w:r w:rsidRPr="000A7D0E">
          <w:rPr>
            <w:rStyle w:val="af1"/>
            <w:rFonts w:eastAsia="宋体"/>
            <w:noProof/>
          </w:rPr>
          <w:t>Proposal 4:</w:t>
        </w:r>
        <w:r>
          <w:rPr>
            <w:rFonts w:asciiTheme="minorHAnsi" w:hAnsiTheme="minorHAnsi" w:cstheme="minorBidi"/>
            <w:b w:val="0"/>
            <w:i w:val="0"/>
            <w:noProof/>
            <w:sz w:val="21"/>
            <w:szCs w:val="22"/>
          </w:rPr>
          <w:tab/>
        </w:r>
        <w:r w:rsidRPr="000A7D0E">
          <w:rPr>
            <w:rStyle w:val="af1"/>
            <w:rFonts w:eastAsia="宋体"/>
            <w:noProof/>
          </w:rPr>
          <w:t xml:space="preserve">It does not need to specify </w:t>
        </w:r>
        <w:r w:rsidRPr="000A7D0E">
          <w:rPr>
            <w:rStyle w:val="af1"/>
            <w:noProof/>
          </w:rPr>
          <w:t xml:space="preserve">switching </w:t>
        </w:r>
        <w:r w:rsidRPr="000A7D0E">
          <w:rPr>
            <w:rStyle w:val="af1"/>
            <w:rFonts w:eastAsia="宋体"/>
            <w:noProof/>
          </w:rPr>
          <w:t>conditions or events to trigger the switching between timing modes</w:t>
        </w:r>
        <w:r w:rsidRPr="000A7D0E">
          <w:rPr>
            <w:rStyle w:val="af1"/>
            <w:rFonts w:cs="Times"/>
            <w:noProof/>
          </w:rPr>
          <w:t>.</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07" w:history="1">
        <w:r w:rsidRPr="000A7D0E">
          <w:rPr>
            <w:rStyle w:val="af1"/>
            <w:rFonts w:eastAsia="宋体"/>
            <w:noProof/>
          </w:rPr>
          <w:t>Proposal 5:</w:t>
        </w:r>
        <w:r>
          <w:rPr>
            <w:rFonts w:asciiTheme="minorHAnsi" w:hAnsiTheme="minorHAnsi" w:cstheme="minorBidi"/>
            <w:b w:val="0"/>
            <w:i w:val="0"/>
            <w:noProof/>
            <w:sz w:val="21"/>
            <w:szCs w:val="22"/>
          </w:rPr>
          <w:tab/>
        </w:r>
        <w:r w:rsidRPr="000A7D0E">
          <w:rPr>
            <w:rStyle w:val="af1"/>
            <w:rFonts w:cs="Times"/>
            <w:noProof/>
          </w:rPr>
          <w:t>It does not need to enhance Rel-16 OTA synchronization to support switching timing modes.</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08" w:history="1">
        <w:r w:rsidRPr="000A7D0E">
          <w:rPr>
            <w:rStyle w:val="af1"/>
            <w:rFonts w:eastAsia="宋体"/>
            <w:noProof/>
          </w:rPr>
          <w:t>Proposal 6:</w:t>
        </w:r>
        <w:r>
          <w:rPr>
            <w:rFonts w:asciiTheme="minorHAnsi" w:hAnsiTheme="minorHAnsi" w:cstheme="minorBidi"/>
            <w:b w:val="0"/>
            <w:i w:val="0"/>
            <w:noProof/>
            <w:sz w:val="21"/>
            <w:szCs w:val="22"/>
          </w:rPr>
          <w:tab/>
        </w:r>
        <w:r w:rsidRPr="000A7D0E">
          <w:rPr>
            <w:rStyle w:val="af1"/>
            <w:rFonts w:cs="Times"/>
            <w:noProof/>
          </w:rPr>
          <w:t xml:space="preserve">To support switching between timing mode in a dynamic way, e.g., to </w:t>
        </w:r>
        <w:r w:rsidRPr="000A7D0E">
          <w:rPr>
            <w:rStyle w:val="af1"/>
            <w:noProof/>
          </w:rPr>
          <w:t>indicate the information for switching via DCI together with resource allocation information</w:t>
        </w:r>
        <w:r w:rsidRPr="000A7D0E">
          <w:rPr>
            <w:rStyle w:val="af1"/>
            <w:rFonts w:cs="Times"/>
            <w:noProof/>
          </w:rPr>
          <w:t>.</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09" w:history="1">
        <w:r w:rsidRPr="000A7D0E">
          <w:rPr>
            <w:rStyle w:val="af1"/>
            <w:rFonts w:eastAsia="宋体"/>
            <w:noProof/>
          </w:rPr>
          <w:t>Proposal 7:</w:t>
        </w:r>
        <w:r>
          <w:rPr>
            <w:rFonts w:asciiTheme="minorHAnsi" w:hAnsiTheme="minorHAnsi" w:cstheme="minorBidi"/>
            <w:b w:val="0"/>
            <w:i w:val="0"/>
            <w:noProof/>
            <w:sz w:val="21"/>
            <w:szCs w:val="22"/>
          </w:rPr>
          <w:tab/>
        </w:r>
        <w:r w:rsidRPr="000A7D0E">
          <w:rPr>
            <w:rStyle w:val="af1"/>
            <w:rFonts w:cs="Times"/>
            <w:noProof/>
          </w:rPr>
          <w:t>IAB-MT Tx timing of case-6 timing is directly locked to the IAB-DU Tx timing in case of</w:t>
        </w:r>
        <w:r w:rsidRPr="000A7D0E">
          <w:rPr>
            <w:rStyle w:val="af1"/>
            <w:noProof/>
          </w:rPr>
          <w:t xml:space="preserve"> case-6 timing</w:t>
        </w:r>
        <w:r w:rsidRPr="000A7D0E">
          <w:rPr>
            <w:rStyle w:val="af1"/>
            <w:rFonts w:cs="Times"/>
            <w:noProof/>
          </w:rPr>
          <w:t>.</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10" w:history="1">
        <w:r w:rsidRPr="000A7D0E">
          <w:rPr>
            <w:rStyle w:val="af1"/>
            <w:rFonts w:eastAsia="宋体"/>
            <w:noProof/>
          </w:rPr>
          <w:t>Proposal 8:</w:t>
        </w:r>
        <w:r>
          <w:rPr>
            <w:rFonts w:asciiTheme="minorHAnsi" w:hAnsiTheme="minorHAnsi" w:cstheme="minorBidi"/>
            <w:b w:val="0"/>
            <w:i w:val="0"/>
            <w:noProof/>
            <w:sz w:val="21"/>
            <w:szCs w:val="22"/>
          </w:rPr>
          <w:tab/>
        </w:r>
        <w:r w:rsidRPr="000A7D0E">
          <w:rPr>
            <w:rStyle w:val="af1"/>
            <w:rFonts w:cs="Times"/>
            <w:noProof/>
          </w:rPr>
          <w:t xml:space="preserve">IAB-MT Tx timing of case-7 timing </w:t>
        </w:r>
        <w:r w:rsidRPr="000A7D0E">
          <w:rPr>
            <w:rStyle w:val="af1"/>
            <w:noProof/>
          </w:rPr>
          <w:t xml:space="preserve">can be based on </w:t>
        </w:r>
        <w:r w:rsidRPr="000A7D0E">
          <w:rPr>
            <w:rStyle w:val="af1"/>
            <w:rFonts w:eastAsia="宋体"/>
            <w:noProof/>
          </w:rPr>
          <w:t>IAB</w:t>
        </w:r>
        <w:r w:rsidRPr="000A7D0E">
          <w:rPr>
            <w:rStyle w:val="af1"/>
            <w:noProof/>
          </w:rPr>
          <w:t>-</w:t>
        </w:r>
        <w:r w:rsidRPr="000A7D0E">
          <w:rPr>
            <w:rStyle w:val="af1"/>
            <w:rFonts w:eastAsia="宋体"/>
            <w:noProof/>
          </w:rPr>
          <w:t>MT T</w:t>
        </w:r>
        <w:r w:rsidRPr="000A7D0E">
          <w:rPr>
            <w:rStyle w:val="af1"/>
            <w:noProof/>
          </w:rPr>
          <w:t>x</w:t>
        </w:r>
        <w:r w:rsidRPr="000A7D0E">
          <w:rPr>
            <w:rStyle w:val="af1"/>
            <w:rFonts w:eastAsia="宋体"/>
            <w:noProof/>
          </w:rPr>
          <w:t xml:space="preserve"> timing of case-</w:t>
        </w:r>
        <w:r w:rsidRPr="000A7D0E">
          <w:rPr>
            <w:rStyle w:val="af1"/>
            <w:noProof/>
          </w:rPr>
          <w:t>1 plus an offset</w:t>
        </w:r>
        <w:r w:rsidRPr="000A7D0E">
          <w:rPr>
            <w:rStyle w:val="af1"/>
            <w:rFonts w:cs="Times"/>
            <w:noProof/>
          </w:rPr>
          <w:t>.</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11" w:history="1">
        <w:r w:rsidRPr="000A7D0E">
          <w:rPr>
            <w:rStyle w:val="af1"/>
            <w:rFonts w:eastAsia="宋体"/>
            <w:noProof/>
          </w:rPr>
          <w:t>Proposal 9:</w:t>
        </w:r>
        <w:r>
          <w:rPr>
            <w:rFonts w:asciiTheme="minorHAnsi" w:hAnsiTheme="minorHAnsi" w:cstheme="minorBidi"/>
            <w:b w:val="0"/>
            <w:i w:val="0"/>
            <w:noProof/>
            <w:sz w:val="21"/>
            <w:szCs w:val="22"/>
          </w:rPr>
          <w:tab/>
        </w:r>
        <w:r w:rsidRPr="000A7D0E">
          <w:rPr>
            <w:rStyle w:val="af1"/>
            <w:noProof/>
          </w:rPr>
          <w:t>An IAB node can be configured maximum allowed UL Tx power of IAB-MT and maximum allowed DL Tx power of IAB-DU in case of simultaneous operation at the IAB node</w:t>
        </w:r>
        <w:r w:rsidRPr="000A7D0E">
          <w:rPr>
            <w:rStyle w:val="af1"/>
            <w:rFonts w:cs="Times"/>
            <w:noProof/>
          </w:rPr>
          <w:t>.</w:t>
        </w:r>
      </w:hyperlink>
    </w:p>
    <w:p w:rsidR="00841B19" w:rsidRDefault="00841B19">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712012" w:history="1">
        <w:r w:rsidRPr="000A7D0E">
          <w:rPr>
            <w:rStyle w:val="af1"/>
            <w:rFonts w:eastAsia="宋体"/>
            <w:noProof/>
          </w:rPr>
          <w:t>Proposal 10:</w:t>
        </w:r>
        <w:r>
          <w:rPr>
            <w:rFonts w:asciiTheme="minorHAnsi" w:hAnsiTheme="minorHAnsi" w:cstheme="minorBidi"/>
            <w:b w:val="0"/>
            <w:i w:val="0"/>
            <w:noProof/>
            <w:sz w:val="21"/>
            <w:szCs w:val="22"/>
          </w:rPr>
          <w:tab/>
        </w:r>
        <w:r w:rsidRPr="000A7D0E">
          <w:rPr>
            <w:rStyle w:val="af1"/>
            <w:noProof/>
          </w:rPr>
          <w:t>UL power control parameters of child-MT should be associated with multiplexing scenario or time resource.</w:t>
        </w:r>
      </w:hyperlink>
    </w:p>
    <w:p w:rsidR="00841B19" w:rsidRDefault="00841B19">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712013" w:history="1">
        <w:r w:rsidRPr="000A7D0E">
          <w:rPr>
            <w:rStyle w:val="af1"/>
            <w:rFonts w:eastAsia="宋体"/>
            <w:noProof/>
          </w:rPr>
          <w:t>Proposal 11:</w:t>
        </w:r>
        <w:r>
          <w:rPr>
            <w:rFonts w:asciiTheme="minorHAnsi" w:hAnsiTheme="minorHAnsi" w:cstheme="minorBidi"/>
            <w:b w:val="0"/>
            <w:i w:val="0"/>
            <w:noProof/>
            <w:sz w:val="21"/>
            <w:szCs w:val="22"/>
          </w:rPr>
          <w:tab/>
        </w:r>
        <w:r w:rsidRPr="000A7D0E">
          <w:rPr>
            <w:rStyle w:val="af1"/>
            <w:noProof/>
          </w:rPr>
          <w:t xml:space="preserve">For UL power control of child-MT on each multiplexing scenario or time resource, </w:t>
        </w:r>
        <w:r w:rsidRPr="000A7D0E">
          <w:rPr>
            <w:rStyle w:val="af1"/>
            <w:rFonts w:eastAsia="Calibri"/>
            <w:noProof/>
          </w:rPr>
          <w:t>legacy UL power control mechanism</w:t>
        </w:r>
        <w:r w:rsidRPr="000A7D0E">
          <w:rPr>
            <w:rStyle w:val="af1"/>
            <w:rFonts w:eastAsia="宋体"/>
            <w:noProof/>
          </w:rPr>
          <w:t xml:space="preserve"> is reused.</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14" w:history="1">
        <w:r w:rsidRPr="000A7D0E">
          <w:rPr>
            <w:rStyle w:val="af1"/>
            <w:rFonts w:eastAsia="宋体"/>
            <w:noProof/>
          </w:rPr>
          <w:t>Proposal 12:</w:t>
        </w:r>
        <w:r>
          <w:rPr>
            <w:rFonts w:asciiTheme="minorHAnsi" w:hAnsiTheme="minorHAnsi" w:cstheme="minorBidi"/>
            <w:b w:val="0"/>
            <w:i w:val="0"/>
            <w:noProof/>
            <w:sz w:val="21"/>
            <w:szCs w:val="22"/>
          </w:rPr>
          <w:tab/>
        </w:r>
        <w:r w:rsidRPr="000A7D0E">
          <w:rPr>
            <w:rStyle w:val="af1"/>
            <w:noProof/>
          </w:rPr>
          <w:t>Beam depended DL power control of IAB-DU should be considered, IAB-DU provides DL power control parameters and associated beam information to child-MTs (e.g., different PC parameters could be associated with different TCI states, or CSI-RSs).</w:t>
        </w:r>
      </w:hyperlink>
    </w:p>
    <w:p w:rsidR="00841B19" w:rsidRDefault="00841B19">
      <w:pPr>
        <w:pStyle w:val="10"/>
        <w:tabs>
          <w:tab w:val="left" w:pos="1470"/>
          <w:tab w:val="right" w:leader="dot" w:pos="9650"/>
        </w:tabs>
        <w:spacing w:before="120" w:after="120"/>
        <w:rPr>
          <w:rFonts w:asciiTheme="minorHAnsi" w:hAnsiTheme="minorHAnsi" w:cstheme="minorBidi"/>
          <w:b w:val="0"/>
          <w:i w:val="0"/>
          <w:noProof/>
          <w:sz w:val="21"/>
          <w:szCs w:val="22"/>
        </w:rPr>
      </w:pPr>
      <w:hyperlink w:anchor="_Toc71712015" w:history="1">
        <w:r w:rsidRPr="000A7D0E">
          <w:rPr>
            <w:rStyle w:val="af1"/>
            <w:rFonts w:eastAsia="宋体"/>
            <w:noProof/>
          </w:rPr>
          <w:t>Proposal 13:</w:t>
        </w:r>
        <w:r>
          <w:rPr>
            <w:rFonts w:asciiTheme="minorHAnsi" w:hAnsiTheme="minorHAnsi" w:cstheme="minorBidi"/>
            <w:b w:val="0"/>
            <w:i w:val="0"/>
            <w:noProof/>
            <w:sz w:val="21"/>
            <w:szCs w:val="22"/>
          </w:rPr>
          <w:tab/>
        </w:r>
        <w:r w:rsidRPr="000A7D0E">
          <w:rPr>
            <w:rStyle w:val="af1"/>
            <w:noProof/>
          </w:rPr>
          <w:t>Expected DL Rx power equivalent parameters (e.g. offset from a certain CSI-RS Rx power to expected DL Rx power) and associated beam information could be indicated by child node to IAB node to assist the DL power control of IAB-DU.</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16" w:history="1">
        <w:r w:rsidRPr="000A7D0E">
          <w:rPr>
            <w:rStyle w:val="af1"/>
            <w:rFonts w:eastAsia="宋体"/>
            <w:noProof/>
          </w:rPr>
          <w:t>Proposal 14:</w:t>
        </w:r>
        <w:r>
          <w:rPr>
            <w:rFonts w:asciiTheme="minorHAnsi" w:hAnsiTheme="minorHAnsi" w:cstheme="minorBidi"/>
            <w:b w:val="0"/>
            <w:i w:val="0"/>
            <w:noProof/>
            <w:sz w:val="21"/>
            <w:szCs w:val="22"/>
          </w:rPr>
          <w:tab/>
        </w:r>
        <w:r w:rsidRPr="000A7D0E">
          <w:rPr>
            <w:rStyle w:val="af1"/>
            <w:noProof/>
          </w:rPr>
          <w:t>Legacy UE to UE CLI procedure can be reused for MT to MT CLI.</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17" w:history="1">
        <w:r w:rsidRPr="000A7D0E">
          <w:rPr>
            <w:rStyle w:val="af1"/>
            <w:rFonts w:eastAsia="宋体"/>
            <w:noProof/>
          </w:rPr>
          <w:t>Proposal 15:</w:t>
        </w:r>
        <w:r>
          <w:rPr>
            <w:rFonts w:asciiTheme="minorHAnsi" w:hAnsiTheme="minorHAnsi" w:cstheme="minorBidi"/>
            <w:b w:val="0"/>
            <w:i w:val="0"/>
            <w:noProof/>
            <w:sz w:val="21"/>
            <w:szCs w:val="22"/>
          </w:rPr>
          <w:tab/>
        </w:r>
        <w:r w:rsidRPr="000A7D0E">
          <w:rPr>
            <w:rStyle w:val="af1"/>
            <w:noProof/>
          </w:rPr>
          <w:t>DU to DU CLI measurement and report are left to DU implementation (excluding the remote interference measurement and report).</w:t>
        </w:r>
      </w:hyperlink>
    </w:p>
    <w:p w:rsidR="00841B19" w:rsidRDefault="00841B19">
      <w:pPr>
        <w:pStyle w:val="10"/>
        <w:tabs>
          <w:tab w:val="left" w:pos="1282"/>
          <w:tab w:val="right" w:leader="dot" w:pos="9650"/>
        </w:tabs>
        <w:spacing w:before="120" w:after="120"/>
        <w:rPr>
          <w:rFonts w:asciiTheme="minorHAnsi" w:hAnsiTheme="minorHAnsi" w:cstheme="minorBidi"/>
          <w:b w:val="0"/>
          <w:i w:val="0"/>
          <w:noProof/>
          <w:sz w:val="21"/>
          <w:szCs w:val="22"/>
        </w:rPr>
      </w:pPr>
      <w:hyperlink w:anchor="_Toc71712018" w:history="1">
        <w:r w:rsidRPr="000A7D0E">
          <w:rPr>
            <w:rStyle w:val="af1"/>
            <w:rFonts w:eastAsia="宋体"/>
            <w:noProof/>
          </w:rPr>
          <w:t>Proposal 16:</w:t>
        </w:r>
        <w:r>
          <w:rPr>
            <w:rFonts w:asciiTheme="minorHAnsi" w:hAnsiTheme="minorHAnsi" w:cstheme="minorBidi"/>
            <w:b w:val="0"/>
            <w:i w:val="0"/>
            <w:noProof/>
            <w:sz w:val="21"/>
            <w:szCs w:val="22"/>
          </w:rPr>
          <w:tab/>
        </w:r>
        <w:r w:rsidRPr="000A7D0E">
          <w:rPr>
            <w:rStyle w:val="af1"/>
            <w:noProof/>
          </w:rPr>
          <w:t>DCI 2_0/DCI2_5 like beam applicable DCI is used to indicate the IAB applicable beams in a set of slots.</w:t>
        </w:r>
      </w:hyperlink>
    </w:p>
    <w:p w:rsidR="00EA36FC" w:rsidRDefault="00841B19">
      <w:pPr>
        <w:pStyle w:val="10"/>
        <w:widowControl w:val="0"/>
        <w:tabs>
          <w:tab w:val="right" w:pos="9660"/>
        </w:tabs>
        <w:spacing w:before="120" w:after="120"/>
        <w:rPr>
          <w:rFonts w:cs="Times"/>
          <w:bCs/>
          <w:iCs/>
          <w:color w:val="000000"/>
        </w:rPr>
      </w:pPr>
      <w:r>
        <w:fldChar w:fldCharType="end"/>
      </w:r>
    </w:p>
    <w:p w:rsidR="00EA36FC" w:rsidRDefault="00841B19">
      <w:pPr>
        <w:pStyle w:val="1"/>
        <w:keepNext w:val="0"/>
        <w:keepLines w:val="0"/>
        <w:widowControl w:val="0"/>
        <w:spacing w:before="120" w:after="120"/>
        <w:ind w:left="0"/>
        <w:rPr>
          <w:rFonts w:eastAsia="宋体"/>
        </w:rPr>
      </w:pPr>
      <w:r>
        <w:rPr>
          <w:rFonts w:eastAsia="宋体" w:hint="eastAsia"/>
        </w:rPr>
        <w:t>Reference</w:t>
      </w:r>
      <w:r>
        <w:rPr>
          <w:rFonts w:eastAsia="宋体"/>
        </w:rPr>
        <w:t>s</w:t>
      </w:r>
    </w:p>
    <w:p w:rsidR="00EA36FC" w:rsidRPr="00141144" w:rsidRDefault="00841B19" w:rsidP="00141144">
      <w:pPr>
        <w:pStyle w:val="References"/>
        <w:widowControl w:val="0"/>
        <w:spacing w:before="120" w:after="120"/>
        <w:ind w:left="0" w:firstLine="0"/>
        <w:rPr>
          <w:sz w:val="20"/>
          <w:szCs w:val="20"/>
        </w:rPr>
      </w:pPr>
      <w:bookmarkStart w:id="364" w:name="_Ref16505925"/>
      <w:bookmarkStart w:id="365" w:name="_Ref17466"/>
      <w:bookmarkStart w:id="366" w:name="_Ref6480"/>
      <w:r>
        <w:rPr>
          <w:rFonts w:hint="eastAsia"/>
          <w:bCs/>
          <w:sz w:val="20"/>
          <w:szCs w:val="20"/>
        </w:rPr>
        <w:t>Chairman's Notes RAN1#10</w:t>
      </w:r>
      <w:r>
        <w:rPr>
          <w:rFonts w:hint="eastAsia"/>
          <w:bCs/>
          <w:sz w:val="20"/>
          <w:szCs w:val="20"/>
        </w:rPr>
        <w:t>4</w:t>
      </w:r>
      <w:r>
        <w:rPr>
          <w:rFonts w:hint="eastAsia"/>
          <w:bCs/>
          <w:sz w:val="20"/>
          <w:szCs w:val="20"/>
        </w:rPr>
        <w:t>-e final</w:t>
      </w:r>
      <w:bookmarkEnd w:id="364"/>
      <w:bookmarkEnd w:id="365"/>
      <w:bookmarkEnd w:id="366"/>
    </w:p>
    <w:sectPr w:rsidR="00EA36FC" w:rsidRPr="00141144">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841B19">
      <w:pPr>
        <w:spacing w:before="120" w:after="120" w:line="240" w:lineRule="auto"/>
      </w:pPr>
      <w:r>
        <w:separator/>
      </w:r>
    </w:p>
  </w:endnote>
  <w:endnote w:type="continuationSeparator" w:id="0">
    <w:p w:rsidR="00000000" w:rsidRDefault="00841B19">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6FC" w:rsidRDefault="00EA36FC">
    <w:pPr>
      <w:pStyle w:val="a9"/>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34744"/>
    </w:sdtPr>
    <w:sdtEndPr/>
    <w:sdtContent>
      <w:p w:rsidR="00EA36FC" w:rsidRDefault="00841B19">
        <w:pPr>
          <w:pStyle w:val="a9"/>
          <w:spacing w:before="120" w:after="120"/>
          <w:jc w:val="center"/>
        </w:pPr>
        <w:r>
          <w:fldChar w:fldCharType="begin"/>
        </w:r>
        <w:r>
          <w:instrText xml:space="preserve"> PAGE   \* MERGEFORMAT </w:instrText>
        </w:r>
        <w:r>
          <w:fldChar w:fldCharType="separate"/>
        </w:r>
        <w:r>
          <w:rPr>
            <w:noProof/>
          </w:rPr>
          <w:t>2</w:t>
        </w:r>
        <w:r>
          <w:fldChar w:fldCharType="end"/>
        </w:r>
      </w:p>
    </w:sdtContent>
  </w:sdt>
  <w:p w:rsidR="00EA36FC" w:rsidRDefault="00EA36FC">
    <w:pPr>
      <w:pStyle w:val="a9"/>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6FC" w:rsidRDefault="00EA36FC">
    <w:pPr>
      <w:pStyle w:val="a9"/>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841B19">
      <w:pPr>
        <w:spacing w:before="120" w:after="120" w:line="240" w:lineRule="auto"/>
      </w:pPr>
      <w:r>
        <w:separator/>
      </w:r>
    </w:p>
  </w:footnote>
  <w:footnote w:type="continuationSeparator" w:id="0">
    <w:p w:rsidR="00000000" w:rsidRDefault="00841B19">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6FC" w:rsidRDefault="00EA36FC">
    <w:pPr>
      <w:pStyle w:val="aa"/>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6FC" w:rsidRDefault="00EA36FC">
    <w:pPr>
      <w:pStyle w:val="aa"/>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36FC" w:rsidRDefault="00EA36FC">
    <w:pPr>
      <w:pStyle w:val="aa"/>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3FCA2C8"/>
    <w:multiLevelType w:val="singleLevel"/>
    <w:tmpl w:val="43FCA2C8"/>
    <w:lvl w:ilvl="0">
      <w:start w:val="1"/>
      <w:numFmt w:val="lowerRoman"/>
      <w:pStyle w:val="3rdlevelobservation"/>
      <w:lvlText w:val="%1"/>
      <w:lvlJc w:val="left"/>
      <w:pPr>
        <w:tabs>
          <w:tab w:val="left" w:pos="807"/>
        </w:tabs>
        <w:ind w:left="420" w:firstLine="0"/>
      </w:pPr>
      <w:rPr>
        <w:rFonts w:ascii="Times New Roman" w:eastAsia="宋体" w:hAnsi="Times New Roman" w:cs="Times New Roman" w:hint="default"/>
        <w:i/>
        <w:iCs/>
      </w:rPr>
    </w:lvl>
  </w:abstractNum>
  <w:abstractNum w:abstractNumId="9">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6F1024BD"/>
    <w:multiLevelType w:val="singleLevel"/>
    <w:tmpl w:val="6F1024BD"/>
    <w:lvl w:ilvl="0">
      <w:start w:val="1"/>
      <w:numFmt w:val="bullet"/>
      <w:lvlText w:val=""/>
      <w:lvlJc w:val="left"/>
      <w:pPr>
        <w:ind w:left="420" w:hanging="420"/>
      </w:pPr>
      <w:rPr>
        <w:rFonts w:ascii="Wingdings" w:hAnsi="Wingdings" w:hint="default"/>
      </w:rPr>
    </w:lvl>
  </w:abstractNum>
  <w:num w:numId="1">
    <w:abstractNumId w:val="3"/>
  </w:num>
  <w:num w:numId="2">
    <w:abstractNumId w:val="6"/>
  </w:num>
  <w:num w:numId="3">
    <w:abstractNumId w:val="4"/>
  </w:num>
  <w:num w:numId="4">
    <w:abstractNumId w:val="1"/>
  </w:num>
  <w:num w:numId="5">
    <w:abstractNumId w:val="7"/>
  </w:num>
  <w:num w:numId="6">
    <w:abstractNumId w:val="0"/>
  </w:num>
  <w:num w:numId="7">
    <w:abstractNumId w:val="8"/>
  </w:num>
  <w:num w:numId="8">
    <w:abstractNumId w:val="5"/>
  </w:num>
  <w:num w:numId="9">
    <w:abstractNumId w:val="2"/>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54E2"/>
    <w:rsid w:val="0006075B"/>
    <w:rsid w:val="000731D9"/>
    <w:rsid w:val="00083DDB"/>
    <w:rsid w:val="000960A5"/>
    <w:rsid w:val="000A2EE5"/>
    <w:rsid w:val="000C1902"/>
    <w:rsid w:val="000C23F8"/>
    <w:rsid w:val="000D05AA"/>
    <w:rsid w:val="000E7CD3"/>
    <w:rsid w:val="00102A6F"/>
    <w:rsid w:val="00141144"/>
    <w:rsid w:val="00166068"/>
    <w:rsid w:val="00167D1E"/>
    <w:rsid w:val="00172A27"/>
    <w:rsid w:val="00175FEC"/>
    <w:rsid w:val="00220CC6"/>
    <w:rsid w:val="0022267B"/>
    <w:rsid w:val="00281B0F"/>
    <w:rsid w:val="00293416"/>
    <w:rsid w:val="00293A8C"/>
    <w:rsid w:val="0029664F"/>
    <w:rsid w:val="00297B77"/>
    <w:rsid w:val="002A0BF2"/>
    <w:rsid w:val="002C59CF"/>
    <w:rsid w:val="002E444A"/>
    <w:rsid w:val="002F3A23"/>
    <w:rsid w:val="0031325A"/>
    <w:rsid w:val="003241EE"/>
    <w:rsid w:val="00333ED2"/>
    <w:rsid w:val="00334292"/>
    <w:rsid w:val="00376C34"/>
    <w:rsid w:val="00384F99"/>
    <w:rsid w:val="00395697"/>
    <w:rsid w:val="003A1203"/>
    <w:rsid w:val="003E6CCE"/>
    <w:rsid w:val="0040257E"/>
    <w:rsid w:val="00404FF0"/>
    <w:rsid w:val="00405665"/>
    <w:rsid w:val="00433B93"/>
    <w:rsid w:val="00435878"/>
    <w:rsid w:val="00441CD9"/>
    <w:rsid w:val="004A5900"/>
    <w:rsid w:val="004C0DBD"/>
    <w:rsid w:val="004C4675"/>
    <w:rsid w:val="004F2D29"/>
    <w:rsid w:val="004F6201"/>
    <w:rsid w:val="0051732E"/>
    <w:rsid w:val="00526188"/>
    <w:rsid w:val="005265A6"/>
    <w:rsid w:val="00565559"/>
    <w:rsid w:val="005B065E"/>
    <w:rsid w:val="005F492B"/>
    <w:rsid w:val="006369E0"/>
    <w:rsid w:val="0064354B"/>
    <w:rsid w:val="006522AC"/>
    <w:rsid w:val="006627DA"/>
    <w:rsid w:val="0066322D"/>
    <w:rsid w:val="006636C0"/>
    <w:rsid w:val="006757F1"/>
    <w:rsid w:val="006921E5"/>
    <w:rsid w:val="0069512F"/>
    <w:rsid w:val="00695650"/>
    <w:rsid w:val="00697EBB"/>
    <w:rsid w:val="006B4DFD"/>
    <w:rsid w:val="006C756C"/>
    <w:rsid w:val="0070284D"/>
    <w:rsid w:val="00713F21"/>
    <w:rsid w:val="00725A62"/>
    <w:rsid w:val="00726BCF"/>
    <w:rsid w:val="00733AB8"/>
    <w:rsid w:val="00740B89"/>
    <w:rsid w:val="007564FE"/>
    <w:rsid w:val="00761B1D"/>
    <w:rsid w:val="0077184F"/>
    <w:rsid w:val="007761FD"/>
    <w:rsid w:val="007B39E8"/>
    <w:rsid w:val="007B51B3"/>
    <w:rsid w:val="007C1124"/>
    <w:rsid w:val="007E5750"/>
    <w:rsid w:val="00823F23"/>
    <w:rsid w:val="00837885"/>
    <w:rsid w:val="00841B19"/>
    <w:rsid w:val="00883484"/>
    <w:rsid w:val="008F6930"/>
    <w:rsid w:val="0090458B"/>
    <w:rsid w:val="00935B63"/>
    <w:rsid w:val="00936426"/>
    <w:rsid w:val="00955583"/>
    <w:rsid w:val="0096044C"/>
    <w:rsid w:val="009904A9"/>
    <w:rsid w:val="0099160A"/>
    <w:rsid w:val="00996F89"/>
    <w:rsid w:val="009C6D56"/>
    <w:rsid w:val="009E3245"/>
    <w:rsid w:val="009E7529"/>
    <w:rsid w:val="009F3678"/>
    <w:rsid w:val="009F7489"/>
    <w:rsid w:val="00A163E3"/>
    <w:rsid w:val="00A521CA"/>
    <w:rsid w:val="00AC03D1"/>
    <w:rsid w:val="00AD7DD2"/>
    <w:rsid w:val="00B04112"/>
    <w:rsid w:val="00B140E4"/>
    <w:rsid w:val="00B22688"/>
    <w:rsid w:val="00B27ADE"/>
    <w:rsid w:val="00B5700F"/>
    <w:rsid w:val="00B6123B"/>
    <w:rsid w:val="00B6403D"/>
    <w:rsid w:val="00B646BE"/>
    <w:rsid w:val="00B64D3A"/>
    <w:rsid w:val="00B675A2"/>
    <w:rsid w:val="00B75F9E"/>
    <w:rsid w:val="00B81A17"/>
    <w:rsid w:val="00B82A09"/>
    <w:rsid w:val="00B82BEF"/>
    <w:rsid w:val="00B9727F"/>
    <w:rsid w:val="00BB18E5"/>
    <w:rsid w:val="00BB423E"/>
    <w:rsid w:val="00BE204A"/>
    <w:rsid w:val="00C06B18"/>
    <w:rsid w:val="00C229E2"/>
    <w:rsid w:val="00C5250B"/>
    <w:rsid w:val="00C551A0"/>
    <w:rsid w:val="00C67E62"/>
    <w:rsid w:val="00C97A84"/>
    <w:rsid w:val="00CA2622"/>
    <w:rsid w:val="00CA43AD"/>
    <w:rsid w:val="00CB2546"/>
    <w:rsid w:val="00CB3383"/>
    <w:rsid w:val="00CC354F"/>
    <w:rsid w:val="00CD3BAB"/>
    <w:rsid w:val="00CE007D"/>
    <w:rsid w:val="00CF5B3A"/>
    <w:rsid w:val="00CF5CB2"/>
    <w:rsid w:val="00CF7BB0"/>
    <w:rsid w:val="00D32540"/>
    <w:rsid w:val="00D44026"/>
    <w:rsid w:val="00D64D14"/>
    <w:rsid w:val="00D659E8"/>
    <w:rsid w:val="00D83922"/>
    <w:rsid w:val="00DC658B"/>
    <w:rsid w:val="00DD1281"/>
    <w:rsid w:val="00DD4D05"/>
    <w:rsid w:val="00DE1BC7"/>
    <w:rsid w:val="00DE3ABE"/>
    <w:rsid w:val="00DE6A76"/>
    <w:rsid w:val="00E22262"/>
    <w:rsid w:val="00E34B89"/>
    <w:rsid w:val="00E36661"/>
    <w:rsid w:val="00E7658A"/>
    <w:rsid w:val="00E865D3"/>
    <w:rsid w:val="00E8734D"/>
    <w:rsid w:val="00EA36FC"/>
    <w:rsid w:val="00EC0971"/>
    <w:rsid w:val="00EC171F"/>
    <w:rsid w:val="00EC3177"/>
    <w:rsid w:val="00EE1459"/>
    <w:rsid w:val="00EE508E"/>
    <w:rsid w:val="00EF52B5"/>
    <w:rsid w:val="00F063F3"/>
    <w:rsid w:val="00F15363"/>
    <w:rsid w:val="00F24E71"/>
    <w:rsid w:val="00F447C8"/>
    <w:rsid w:val="00F461EF"/>
    <w:rsid w:val="00F823B1"/>
    <w:rsid w:val="00F978F9"/>
    <w:rsid w:val="00FA0A08"/>
    <w:rsid w:val="00FA7AB4"/>
    <w:rsid w:val="00FB3F4B"/>
    <w:rsid w:val="00FC03CC"/>
    <w:rsid w:val="00FC5E14"/>
    <w:rsid w:val="00FD2DE4"/>
    <w:rsid w:val="00FE4F57"/>
    <w:rsid w:val="01167A89"/>
    <w:rsid w:val="014404CF"/>
    <w:rsid w:val="015702F1"/>
    <w:rsid w:val="015B20BD"/>
    <w:rsid w:val="01764F01"/>
    <w:rsid w:val="02212D7E"/>
    <w:rsid w:val="024D6B6A"/>
    <w:rsid w:val="02553352"/>
    <w:rsid w:val="029B04E7"/>
    <w:rsid w:val="02AD7079"/>
    <w:rsid w:val="02C202A0"/>
    <w:rsid w:val="02F008EC"/>
    <w:rsid w:val="03073BDC"/>
    <w:rsid w:val="033451DB"/>
    <w:rsid w:val="033F44DC"/>
    <w:rsid w:val="03465C1F"/>
    <w:rsid w:val="036B3CA6"/>
    <w:rsid w:val="037034E6"/>
    <w:rsid w:val="03853D24"/>
    <w:rsid w:val="038D1BC3"/>
    <w:rsid w:val="039F284D"/>
    <w:rsid w:val="03DB0701"/>
    <w:rsid w:val="03FA05E4"/>
    <w:rsid w:val="041D69DB"/>
    <w:rsid w:val="0438784A"/>
    <w:rsid w:val="04711194"/>
    <w:rsid w:val="04787413"/>
    <w:rsid w:val="04820E4D"/>
    <w:rsid w:val="04824ADC"/>
    <w:rsid w:val="048A693F"/>
    <w:rsid w:val="049820AC"/>
    <w:rsid w:val="04A34C49"/>
    <w:rsid w:val="04B977FE"/>
    <w:rsid w:val="04C27429"/>
    <w:rsid w:val="04D9100A"/>
    <w:rsid w:val="04F43DBC"/>
    <w:rsid w:val="051D2186"/>
    <w:rsid w:val="0555228E"/>
    <w:rsid w:val="055822D8"/>
    <w:rsid w:val="058430D7"/>
    <w:rsid w:val="059D1E39"/>
    <w:rsid w:val="05E078B3"/>
    <w:rsid w:val="061A6A42"/>
    <w:rsid w:val="061E3658"/>
    <w:rsid w:val="06234011"/>
    <w:rsid w:val="06247A1E"/>
    <w:rsid w:val="065D038F"/>
    <w:rsid w:val="06684262"/>
    <w:rsid w:val="067342DE"/>
    <w:rsid w:val="069635DB"/>
    <w:rsid w:val="06B2024B"/>
    <w:rsid w:val="06B94F09"/>
    <w:rsid w:val="06DF203C"/>
    <w:rsid w:val="06EA48EC"/>
    <w:rsid w:val="070061BC"/>
    <w:rsid w:val="07194833"/>
    <w:rsid w:val="07421FE8"/>
    <w:rsid w:val="07637E02"/>
    <w:rsid w:val="076A7F7D"/>
    <w:rsid w:val="077D0583"/>
    <w:rsid w:val="079724D0"/>
    <w:rsid w:val="082A352F"/>
    <w:rsid w:val="08A27A6D"/>
    <w:rsid w:val="08A33A9E"/>
    <w:rsid w:val="08C02A08"/>
    <w:rsid w:val="08C349D1"/>
    <w:rsid w:val="08DD3637"/>
    <w:rsid w:val="08F04726"/>
    <w:rsid w:val="0965064C"/>
    <w:rsid w:val="0965483E"/>
    <w:rsid w:val="0976492C"/>
    <w:rsid w:val="09961B0B"/>
    <w:rsid w:val="09997194"/>
    <w:rsid w:val="09AF099C"/>
    <w:rsid w:val="09F67CD5"/>
    <w:rsid w:val="0A203D4A"/>
    <w:rsid w:val="0A314C21"/>
    <w:rsid w:val="0A3E579E"/>
    <w:rsid w:val="0A8B18E1"/>
    <w:rsid w:val="0ACF283D"/>
    <w:rsid w:val="0ACF5168"/>
    <w:rsid w:val="0AE23704"/>
    <w:rsid w:val="0B25121C"/>
    <w:rsid w:val="0B3B302F"/>
    <w:rsid w:val="0B616C98"/>
    <w:rsid w:val="0B6B53D6"/>
    <w:rsid w:val="0B8E19CD"/>
    <w:rsid w:val="0B9E71DF"/>
    <w:rsid w:val="0BBA4E15"/>
    <w:rsid w:val="0BE57191"/>
    <w:rsid w:val="0C6450EC"/>
    <w:rsid w:val="0C89227F"/>
    <w:rsid w:val="0C9D30C2"/>
    <w:rsid w:val="0CE432A0"/>
    <w:rsid w:val="0CEC3335"/>
    <w:rsid w:val="0D1220E5"/>
    <w:rsid w:val="0D772C9C"/>
    <w:rsid w:val="0D91205B"/>
    <w:rsid w:val="0DFA55ED"/>
    <w:rsid w:val="0E0B3698"/>
    <w:rsid w:val="0E171354"/>
    <w:rsid w:val="0E172BD0"/>
    <w:rsid w:val="0E2E3A68"/>
    <w:rsid w:val="0E454BC8"/>
    <w:rsid w:val="0E6122BF"/>
    <w:rsid w:val="0E6E1973"/>
    <w:rsid w:val="0E8F5401"/>
    <w:rsid w:val="0EFF5C2D"/>
    <w:rsid w:val="0F143BD2"/>
    <w:rsid w:val="0F1B6F0A"/>
    <w:rsid w:val="0F5B70B3"/>
    <w:rsid w:val="0FD74648"/>
    <w:rsid w:val="0FFD3646"/>
    <w:rsid w:val="100D1BF3"/>
    <w:rsid w:val="101173BB"/>
    <w:rsid w:val="101D4DE6"/>
    <w:rsid w:val="108746DE"/>
    <w:rsid w:val="109F3465"/>
    <w:rsid w:val="10A50104"/>
    <w:rsid w:val="10AD1CC0"/>
    <w:rsid w:val="10DA1818"/>
    <w:rsid w:val="10E348C8"/>
    <w:rsid w:val="10EB3B6B"/>
    <w:rsid w:val="111C561E"/>
    <w:rsid w:val="114B0B48"/>
    <w:rsid w:val="119778DE"/>
    <w:rsid w:val="119D7849"/>
    <w:rsid w:val="11B87794"/>
    <w:rsid w:val="11BE1819"/>
    <w:rsid w:val="120103B9"/>
    <w:rsid w:val="1242135C"/>
    <w:rsid w:val="125B6C47"/>
    <w:rsid w:val="126E119D"/>
    <w:rsid w:val="12775CDF"/>
    <w:rsid w:val="12A06BC5"/>
    <w:rsid w:val="12B73F6B"/>
    <w:rsid w:val="12F334CF"/>
    <w:rsid w:val="130E7E01"/>
    <w:rsid w:val="131310C0"/>
    <w:rsid w:val="136B5A39"/>
    <w:rsid w:val="13A1683F"/>
    <w:rsid w:val="13A76A52"/>
    <w:rsid w:val="13D6227C"/>
    <w:rsid w:val="13DB3C06"/>
    <w:rsid w:val="147418D7"/>
    <w:rsid w:val="148C3A7E"/>
    <w:rsid w:val="14A43302"/>
    <w:rsid w:val="14C14A1F"/>
    <w:rsid w:val="14C853CE"/>
    <w:rsid w:val="14CC0A51"/>
    <w:rsid w:val="14DA3DA1"/>
    <w:rsid w:val="14EE1EBB"/>
    <w:rsid w:val="14F66467"/>
    <w:rsid w:val="150D1100"/>
    <w:rsid w:val="151B2D20"/>
    <w:rsid w:val="158B08C6"/>
    <w:rsid w:val="15AD415D"/>
    <w:rsid w:val="15CC53EE"/>
    <w:rsid w:val="15E36905"/>
    <w:rsid w:val="15F1581D"/>
    <w:rsid w:val="15F6644B"/>
    <w:rsid w:val="16513AEF"/>
    <w:rsid w:val="166F1824"/>
    <w:rsid w:val="169F6619"/>
    <w:rsid w:val="17155857"/>
    <w:rsid w:val="17674FC6"/>
    <w:rsid w:val="17950508"/>
    <w:rsid w:val="17CC176B"/>
    <w:rsid w:val="181865FE"/>
    <w:rsid w:val="186A13AB"/>
    <w:rsid w:val="187775FB"/>
    <w:rsid w:val="1894213E"/>
    <w:rsid w:val="189D47FD"/>
    <w:rsid w:val="18B230E0"/>
    <w:rsid w:val="18B66FB8"/>
    <w:rsid w:val="18F15198"/>
    <w:rsid w:val="18FC2F51"/>
    <w:rsid w:val="19010C43"/>
    <w:rsid w:val="19084C73"/>
    <w:rsid w:val="19200C2D"/>
    <w:rsid w:val="1A054259"/>
    <w:rsid w:val="1A0D7F96"/>
    <w:rsid w:val="1A2E0961"/>
    <w:rsid w:val="1A465517"/>
    <w:rsid w:val="1A5B5C38"/>
    <w:rsid w:val="1A6636EF"/>
    <w:rsid w:val="1AED7764"/>
    <w:rsid w:val="1B1337D4"/>
    <w:rsid w:val="1B3C1E7E"/>
    <w:rsid w:val="1B7F6005"/>
    <w:rsid w:val="1B804965"/>
    <w:rsid w:val="1BCE1DFD"/>
    <w:rsid w:val="1BDA119C"/>
    <w:rsid w:val="1BE941EE"/>
    <w:rsid w:val="1BEB4414"/>
    <w:rsid w:val="1C132CB9"/>
    <w:rsid w:val="1C236F79"/>
    <w:rsid w:val="1C9E1905"/>
    <w:rsid w:val="1CAB67AC"/>
    <w:rsid w:val="1CC27823"/>
    <w:rsid w:val="1CC55E56"/>
    <w:rsid w:val="1CCC26CA"/>
    <w:rsid w:val="1D6860B0"/>
    <w:rsid w:val="1D731830"/>
    <w:rsid w:val="1D736D6E"/>
    <w:rsid w:val="1D824FCB"/>
    <w:rsid w:val="1DA15259"/>
    <w:rsid w:val="1DA2248D"/>
    <w:rsid w:val="1DDC5C5B"/>
    <w:rsid w:val="1DED6FF3"/>
    <w:rsid w:val="1DEF202A"/>
    <w:rsid w:val="1E155F21"/>
    <w:rsid w:val="1E213CAA"/>
    <w:rsid w:val="1E502C64"/>
    <w:rsid w:val="1E545DBD"/>
    <w:rsid w:val="1E664B2D"/>
    <w:rsid w:val="1E9D6342"/>
    <w:rsid w:val="1F150373"/>
    <w:rsid w:val="1F440BFE"/>
    <w:rsid w:val="1F723122"/>
    <w:rsid w:val="1F7479F8"/>
    <w:rsid w:val="1F962CAB"/>
    <w:rsid w:val="1FB754AD"/>
    <w:rsid w:val="1FC8058A"/>
    <w:rsid w:val="1FE11599"/>
    <w:rsid w:val="1FF51A13"/>
    <w:rsid w:val="202903CC"/>
    <w:rsid w:val="202A4795"/>
    <w:rsid w:val="20495BD8"/>
    <w:rsid w:val="204E6676"/>
    <w:rsid w:val="206267C3"/>
    <w:rsid w:val="206E2004"/>
    <w:rsid w:val="20712797"/>
    <w:rsid w:val="20CB6FE0"/>
    <w:rsid w:val="20E97E27"/>
    <w:rsid w:val="211941B9"/>
    <w:rsid w:val="211A0695"/>
    <w:rsid w:val="211B1392"/>
    <w:rsid w:val="214833CD"/>
    <w:rsid w:val="216406C3"/>
    <w:rsid w:val="2195668B"/>
    <w:rsid w:val="21A649DD"/>
    <w:rsid w:val="21BE5AD4"/>
    <w:rsid w:val="21C2279E"/>
    <w:rsid w:val="21C90F74"/>
    <w:rsid w:val="21EC1042"/>
    <w:rsid w:val="220B039B"/>
    <w:rsid w:val="222C5C9C"/>
    <w:rsid w:val="228E502C"/>
    <w:rsid w:val="23082245"/>
    <w:rsid w:val="231D0823"/>
    <w:rsid w:val="23523D5B"/>
    <w:rsid w:val="236847C5"/>
    <w:rsid w:val="23733000"/>
    <w:rsid w:val="237E4558"/>
    <w:rsid w:val="23A30984"/>
    <w:rsid w:val="23B71DF0"/>
    <w:rsid w:val="23CC7904"/>
    <w:rsid w:val="23DA1E98"/>
    <w:rsid w:val="240C71C8"/>
    <w:rsid w:val="242278E1"/>
    <w:rsid w:val="245C52F8"/>
    <w:rsid w:val="2463385E"/>
    <w:rsid w:val="249322E8"/>
    <w:rsid w:val="24944B36"/>
    <w:rsid w:val="24D77AFB"/>
    <w:rsid w:val="24E702E9"/>
    <w:rsid w:val="24F4325B"/>
    <w:rsid w:val="24FE25BF"/>
    <w:rsid w:val="2508650D"/>
    <w:rsid w:val="25134332"/>
    <w:rsid w:val="253D6D3A"/>
    <w:rsid w:val="255118C9"/>
    <w:rsid w:val="25722255"/>
    <w:rsid w:val="257E508F"/>
    <w:rsid w:val="25A41814"/>
    <w:rsid w:val="25C00748"/>
    <w:rsid w:val="25E845D3"/>
    <w:rsid w:val="26421C49"/>
    <w:rsid w:val="2653091D"/>
    <w:rsid w:val="2698089E"/>
    <w:rsid w:val="26A168EB"/>
    <w:rsid w:val="26AA670E"/>
    <w:rsid w:val="274C01EB"/>
    <w:rsid w:val="27AB7429"/>
    <w:rsid w:val="27F85BF5"/>
    <w:rsid w:val="28006673"/>
    <w:rsid w:val="28311F29"/>
    <w:rsid w:val="285C053E"/>
    <w:rsid w:val="28663D87"/>
    <w:rsid w:val="2877524C"/>
    <w:rsid w:val="28911DA4"/>
    <w:rsid w:val="28C50C50"/>
    <w:rsid w:val="29741FCB"/>
    <w:rsid w:val="297D3B9A"/>
    <w:rsid w:val="29FA7F26"/>
    <w:rsid w:val="2A115137"/>
    <w:rsid w:val="2A4E36C4"/>
    <w:rsid w:val="2A700E2D"/>
    <w:rsid w:val="2A8238B0"/>
    <w:rsid w:val="2A834EF2"/>
    <w:rsid w:val="2A9E3A9C"/>
    <w:rsid w:val="2B5D3F6B"/>
    <w:rsid w:val="2B5E3436"/>
    <w:rsid w:val="2B5E5CF1"/>
    <w:rsid w:val="2B76388B"/>
    <w:rsid w:val="2B774832"/>
    <w:rsid w:val="2BA97DE5"/>
    <w:rsid w:val="2BAA3A2F"/>
    <w:rsid w:val="2BAF5B74"/>
    <w:rsid w:val="2CB47BAD"/>
    <w:rsid w:val="2CC16BCB"/>
    <w:rsid w:val="2D251DB1"/>
    <w:rsid w:val="2D5B4DC4"/>
    <w:rsid w:val="2D6A12F9"/>
    <w:rsid w:val="2D8838AD"/>
    <w:rsid w:val="2DC56BFE"/>
    <w:rsid w:val="2DEB0B4E"/>
    <w:rsid w:val="2DFE122C"/>
    <w:rsid w:val="2E7100FC"/>
    <w:rsid w:val="2E9F0C6A"/>
    <w:rsid w:val="2EED66B0"/>
    <w:rsid w:val="2EF11654"/>
    <w:rsid w:val="2F1251F2"/>
    <w:rsid w:val="2F226943"/>
    <w:rsid w:val="2F3D7519"/>
    <w:rsid w:val="2F48200A"/>
    <w:rsid w:val="2F950717"/>
    <w:rsid w:val="30064A38"/>
    <w:rsid w:val="300A73E1"/>
    <w:rsid w:val="306169EA"/>
    <w:rsid w:val="30962F3E"/>
    <w:rsid w:val="30B466C4"/>
    <w:rsid w:val="30D17E68"/>
    <w:rsid w:val="30E91386"/>
    <w:rsid w:val="30FF2795"/>
    <w:rsid w:val="31136AEE"/>
    <w:rsid w:val="31450C06"/>
    <w:rsid w:val="3150693A"/>
    <w:rsid w:val="315660F9"/>
    <w:rsid w:val="319506B4"/>
    <w:rsid w:val="31CE35AD"/>
    <w:rsid w:val="31CE3783"/>
    <w:rsid w:val="31EF29F9"/>
    <w:rsid w:val="322F39C7"/>
    <w:rsid w:val="323C475C"/>
    <w:rsid w:val="324F5D1C"/>
    <w:rsid w:val="32604016"/>
    <w:rsid w:val="32797DA2"/>
    <w:rsid w:val="328C47B2"/>
    <w:rsid w:val="329A6ACE"/>
    <w:rsid w:val="32C96B57"/>
    <w:rsid w:val="3306388C"/>
    <w:rsid w:val="3324726E"/>
    <w:rsid w:val="335B6F56"/>
    <w:rsid w:val="33A25EA9"/>
    <w:rsid w:val="33BD3D7F"/>
    <w:rsid w:val="33D9437A"/>
    <w:rsid w:val="34154AEE"/>
    <w:rsid w:val="3432561D"/>
    <w:rsid w:val="34A3771F"/>
    <w:rsid w:val="34A60427"/>
    <w:rsid w:val="34AF1772"/>
    <w:rsid w:val="34CE3671"/>
    <w:rsid w:val="34DA63AE"/>
    <w:rsid w:val="34FE3479"/>
    <w:rsid w:val="35141A17"/>
    <w:rsid w:val="35684571"/>
    <w:rsid w:val="35A6288A"/>
    <w:rsid w:val="35CB61D5"/>
    <w:rsid w:val="35E341B6"/>
    <w:rsid w:val="35E42057"/>
    <w:rsid w:val="35E528C4"/>
    <w:rsid w:val="360B1D73"/>
    <w:rsid w:val="361F3323"/>
    <w:rsid w:val="362B1155"/>
    <w:rsid w:val="364112DA"/>
    <w:rsid w:val="36540497"/>
    <w:rsid w:val="36940D38"/>
    <w:rsid w:val="36C5320A"/>
    <w:rsid w:val="36E93760"/>
    <w:rsid w:val="36FD4529"/>
    <w:rsid w:val="37060192"/>
    <w:rsid w:val="3784394E"/>
    <w:rsid w:val="380D1D0F"/>
    <w:rsid w:val="3823721F"/>
    <w:rsid w:val="38AE3BB0"/>
    <w:rsid w:val="390B0E9D"/>
    <w:rsid w:val="392D11BE"/>
    <w:rsid w:val="394624B6"/>
    <w:rsid w:val="395947E7"/>
    <w:rsid w:val="39A43F87"/>
    <w:rsid w:val="39D56F32"/>
    <w:rsid w:val="39F84BA4"/>
    <w:rsid w:val="39FB23D4"/>
    <w:rsid w:val="3A7A4510"/>
    <w:rsid w:val="3A9F4EA0"/>
    <w:rsid w:val="3ACB5746"/>
    <w:rsid w:val="3ADB3F57"/>
    <w:rsid w:val="3B4345A5"/>
    <w:rsid w:val="3B4E3C4C"/>
    <w:rsid w:val="3B713396"/>
    <w:rsid w:val="3BB20883"/>
    <w:rsid w:val="3BB30E3E"/>
    <w:rsid w:val="3BC21207"/>
    <w:rsid w:val="3BE22473"/>
    <w:rsid w:val="3BE407A4"/>
    <w:rsid w:val="3C142E37"/>
    <w:rsid w:val="3C2A506F"/>
    <w:rsid w:val="3C3D7506"/>
    <w:rsid w:val="3C5263CC"/>
    <w:rsid w:val="3C543E70"/>
    <w:rsid w:val="3C5A4EA4"/>
    <w:rsid w:val="3C736E72"/>
    <w:rsid w:val="3CAF3C37"/>
    <w:rsid w:val="3CE66150"/>
    <w:rsid w:val="3D0A233F"/>
    <w:rsid w:val="3D1E4653"/>
    <w:rsid w:val="3D361441"/>
    <w:rsid w:val="3D5A362B"/>
    <w:rsid w:val="3DDE19B0"/>
    <w:rsid w:val="3E2A3166"/>
    <w:rsid w:val="3E3B5572"/>
    <w:rsid w:val="3E441C7D"/>
    <w:rsid w:val="3E6B774C"/>
    <w:rsid w:val="3E701975"/>
    <w:rsid w:val="3EBA19A4"/>
    <w:rsid w:val="3EDA04D5"/>
    <w:rsid w:val="3F393434"/>
    <w:rsid w:val="3F5E11B9"/>
    <w:rsid w:val="3F66426C"/>
    <w:rsid w:val="3FBB6DA8"/>
    <w:rsid w:val="3FC956FF"/>
    <w:rsid w:val="3FEF0F46"/>
    <w:rsid w:val="3FFA7677"/>
    <w:rsid w:val="3FFB0539"/>
    <w:rsid w:val="40205795"/>
    <w:rsid w:val="405E097D"/>
    <w:rsid w:val="40856C25"/>
    <w:rsid w:val="40A36A71"/>
    <w:rsid w:val="40C650FF"/>
    <w:rsid w:val="40CF105F"/>
    <w:rsid w:val="4116656E"/>
    <w:rsid w:val="41412411"/>
    <w:rsid w:val="4177661A"/>
    <w:rsid w:val="41C82FD7"/>
    <w:rsid w:val="41D3631F"/>
    <w:rsid w:val="41F27C8D"/>
    <w:rsid w:val="41F466FD"/>
    <w:rsid w:val="42063A2E"/>
    <w:rsid w:val="42115E2E"/>
    <w:rsid w:val="421C3945"/>
    <w:rsid w:val="42280722"/>
    <w:rsid w:val="424971C2"/>
    <w:rsid w:val="426B41A0"/>
    <w:rsid w:val="42812B39"/>
    <w:rsid w:val="429177A8"/>
    <w:rsid w:val="42A67A24"/>
    <w:rsid w:val="42B31897"/>
    <w:rsid w:val="42D17B6A"/>
    <w:rsid w:val="42D846B9"/>
    <w:rsid w:val="42DC0124"/>
    <w:rsid w:val="42EA7744"/>
    <w:rsid w:val="42F445F4"/>
    <w:rsid w:val="42F4675D"/>
    <w:rsid w:val="43694E57"/>
    <w:rsid w:val="438E2DA7"/>
    <w:rsid w:val="43DF2400"/>
    <w:rsid w:val="440D5045"/>
    <w:rsid w:val="44281E42"/>
    <w:rsid w:val="4448179D"/>
    <w:rsid w:val="44984AF4"/>
    <w:rsid w:val="450377D3"/>
    <w:rsid w:val="451F6FA3"/>
    <w:rsid w:val="45625E40"/>
    <w:rsid w:val="4570254F"/>
    <w:rsid w:val="45825D50"/>
    <w:rsid w:val="45863103"/>
    <w:rsid w:val="459E4FC8"/>
    <w:rsid w:val="45B55022"/>
    <w:rsid w:val="45BE6191"/>
    <w:rsid w:val="45DD4FD0"/>
    <w:rsid w:val="460C5979"/>
    <w:rsid w:val="4612464E"/>
    <w:rsid w:val="467E7709"/>
    <w:rsid w:val="46B01989"/>
    <w:rsid w:val="476077FF"/>
    <w:rsid w:val="47701E40"/>
    <w:rsid w:val="47862758"/>
    <w:rsid w:val="47974F72"/>
    <w:rsid w:val="479B1061"/>
    <w:rsid w:val="47A009AB"/>
    <w:rsid w:val="47BF1887"/>
    <w:rsid w:val="47C01792"/>
    <w:rsid w:val="47DE7D4E"/>
    <w:rsid w:val="480304B2"/>
    <w:rsid w:val="4808150F"/>
    <w:rsid w:val="483069DE"/>
    <w:rsid w:val="485E0F99"/>
    <w:rsid w:val="489C5D93"/>
    <w:rsid w:val="48A73429"/>
    <w:rsid w:val="48DA0F1B"/>
    <w:rsid w:val="49632C10"/>
    <w:rsid w:val="498A04F2"/>
    <w:rsid w:val="499F19D0"/>
    <w:rsid w:val="49E9233D"/>
    <w:rsid w:val="4A0B4E23"/>
    <w:rsid w:val="4A1C6083"/>
    <w:rsid w:val="4A292E2A"/>
    <w:rsid w:val="4A3B68B3"/>
    <w:rsid w:val="4A8E3646"/>
    <w:rsid w:val="4AAD1944"/>
    <w:rsid w:val="4AB04721"/>
    <w:rsid w:val="4AB61820"/>
    <w:rsid w:val="4AC31003"/>
    <w:rsid w:val="4AC62B5E"/>
    <w:rsid w:val="4AE93159"/>
    <w:rsid w:val="4AED60FD"/>
    <w:rsid w:val="4AFE671F"/>
    <w:rsid w:val="4B234E40"/>
    <w:rsid w:val="4B347081"/>
    <w:rsid w:val="4B493729"/>
    <w:rsid w:val="4B517775"/>
    <w:rsid w:val="4BD0339A"/>
    <w:rsid w:val="4C0731C2"/>
    <w:rsid w:val="4C394968"/>
    <w:rsid w:val="4C4F59EF"/>
    <w:rsid w:val="4CBB7AFF"/>
    <w:rsid w:val="4CC32450"/>
    <w:rsid w:val="4CCB7E22"/>
    <w:rsid w:val="4D1B5E55"/>
    <w:rsid w:val="4D2269B7"/>
    <w:rsid w:val="4D2624F7"/>
    <w:rsid w:val="4D462159"/>
    <w:rsid w:val="4D5C5FAC"/>
    <w:rsid w:val="4D903CAF"/>
    <w:rsid w:val="4D9513F6"/>
    <w:rsid w:val="4D9E54C8"/>
    <w:rsid w:val="4DA03BF2"/>
    <w:rsid w:val="4DBF6042"/>
    <w:rsid w:val="4DC0211A"/>
    <w:rsid w:val="4DC605B6"/>
    <w:rsid w:val="4DD636F4"/>
    <w:rsid w:val="4DEC0985"/>
    <w:rsid w:val="4DFF16E2"/>
    <w:rsid w:val="4E1C6436"/>
    <w:rsid w:val="4E24465F"/>
    <w:rsid w:val="4E27683A"/>
    <w:rsid w:val="4E334753"/>
    <w:rsid w:val="4E354B62"/>
    <w:rsid w:val="4E362D17"/>
    <w:rsid w:val="4E4955E8"/>
    <w:rsid w:val="4E4E0080"/>
    <w:rsid w:val="4E7C6450"/>
    <w:rsid w:val="4ECC56BB"/>
    <w:rsid w:val="4F2765B1"/>
    <w:rsid w:val="4F285975"/>
    <w:rsid w:val="4F34639F"/>
    <w:rsid w:val="4FA647B6"/>
    <w:rsid w:val="4FB97441"/>
    <w:rsid w:val="4FE65AA8"/>
    <w:rsid w:val="4FFD30B0"/>
    <w:rsid w:val="50187D28"/>
    <w:rsid w:val="5052250D"/>
    <w:rsid w:val="506901EE"/>
    <w:rsid w:val="50961E20"/>
    <w:rsid w:val="50AB610F"/>
    <w:rsid w:val="50D11CF0"/>
    <w:rsid w:val="513A477C"/>
    <w:rsid w:val="51867298"/>
    <w:rsid w:val="51B00AED"/>
    <w:rsid w:val="52025DEC"/>
    <w:rsid w:val="52195EDF"/>
    <w:rsid w:val="521A6AF9"/>
    <w:rsid w:val="522F787C"/>
    <w:rsid w:val="52313387"/>
    <w:rsid w:val="52450A5A"/>
    <w:rsid w:val="52B30520"/>
    <w:rsid w:val="52B9388A"/>
    <w:rsid w:val="52CC6134"/>
    <w:rsid w:val="52DC42BA"/>
    <w:rsid w:val="52E04D27"/>
    <w:rsid w:val="5332738F"/>
    <w:rsid w:val="535E5E95"/>
    <w:rsid w:val="53734AFF"/>
    <w:rsid w:val="539A390F"/>
    <w:rsid w:val="53DB3477"/>
    <w:rsid w:val="53EF4810"/>
    <w:rsid w:val="54266BB1"/>
    <w:rsid w:val="544E6FB0"/>
    <w:rsid w:val="54761BC2"/>
    <w:rsid w:val="54983F44"/>
    <w:rsid w:val="54A3122C"/>
    <w:rsid w:val="54AF6B42"/>
    <w:rsid w:val="54BB3E92"/>
    <w:rsid w:val="54FD3190"/>
    <w:rsid w:val="550D5818"/>
    <w:rsid w:val="55913979"/>
    <w:rsid w:val="55A37985"/>
    <w:rsid w:val="55BA37EE"/>
    <w:rsid w:val="55D0112C"/>
    <w:rsid w:val="55DD6F2A"/>
    <w:rsid w:val="564F1ABE"/>
    <w:rsid w:val="56772390"/>
    <w:rsid w:val="568C0E5A"/>
    <w:rsid w:val="568F2FC7"/>
    <w:rsid w:val="56C6338F"/>
    <w:rsid w:val="56D76786"/>
    <w:rsid w:val="56E23970"/>
    <w:rsid w:val="56E86B2B"/>
    <w:rsid w:val="571C3CCD"/>
    <w:rsid w:val="57596EF3"/>
    <w:rsid w:val="578F220A"/>
    <w:rsid w:val="57F5774F"/>
    <w:rsid w:val="57FC07D9"/>
    <w:rsid w:val="58500F22"/>
    <w:rsid w:val="5875427E"/>
    <w:rsid w:val="5877635F"/>
    <w:rsid w:val="588E0520"/>
    <w:rsid w:val="589A1710"/>
    <w:rsid w:val="58C31C7C"/>
    <w:rsid w:val="59014A93"/>
    <w:rsid w:val="591409E5"/>
    <w:rsid w:val="591C0009"/>
    <w:rsid w:val="593B1033"/>
    <w:rsid w:val="59724FAA"/>
    <w:rsid w:val="59752101"/>
    <w:rsid w:val="59960D90"/>
    <w:rsid w:val="59EA441A"/>
    <w:rsid w:val="5A004298"/>
    <w:rsid w:val="5A0D7942"/>
    <w:rsid w:val="5A342F49"/>
    <w:rsid w:val="5A374932"/>
    <w:rsid w:val="5A8B6AF9"/>
    <w:rsid w:val="5A9E1971"/>
    <w:rsid w:val="5AAE27F7"/>
    <w:rsid w:val="5AC32943"/>
    <w:rsid w:val="5ACF0F3A"/>
    <w:rsid w:val="5B295AFC"/>
    <w:rsid w:val="5B910D3F"/>
    <w:rsid w:val="5BC82514"/>
    <w:rsid w:val="5C3E4F80"/>
    <w:rsid w:val="5C417E8D"/>
    <w:rsid w:val="5C6B1600"/>
    <w:rsid w:val="5C921AD0"/>
    <w:rsid w:val="5C9B41C3"/>
    <w:rsid w:val="5CAA4998"/>
    <w:rsid w:val="5CFC221B"/>
    <w:rsid w:val="5D0F4006"/>
    <w:rsid w:val="5D410337"/>
    <w:rsid w:val="5D48096D"/>
    <w:rsid w:val="5D4D3341"/>
    <w:rsid w:val="5D8836E1"/>
    <w:rsid w:val="5DA665F1"/>
    <w:rsid w:val="5DE11E50"/>
    <w:rsid w:val="5DE923EB"/>
    <w:rsid w:val="5DFD51DB"/>
    <w:rsid w:val="5E0D36E5"/>
    <w:rsid w:val="5E107E6E"/>
    <w:rsid w:val="5E1C75C0"/>
    <w:rsid w:val="5E5075E3"/>
    <w:rsid w:val="5EB1368B"/>
    <w:rsid w:val="5EE94C0E"/>
    <w:rsid w:val="5F306D36"/>
    <w:rsid w:val="5F5900F1"/>
    <w:rsid w:val="5F8E64F1"/>
    <w:rsid w:val="5FB25365"/>
    <w:rsid w:val="5FC6703C"/>
    <w:rsid w:val="60133B25"/>
    <w:rsid w:val="601F6FA4"/>
    <w:rsid w:val="602444C8"/>
    <w:rsid w:val="60394308"/>
    <w:rsid w:val="607C3753"/>
    <w:rsid w:val="60931392"/>
    <w:rsid w:val="60C30855"/>
    <w:rsid w:val="60DF7910"/>
    <w:rsid w:val="60E80746"/>
    <w:rsid w:val="60F75813"/>
    <w:rsid w:val="612F7F06"/>
    <w:rsid w:val="61421EFD"/>
    <w:rsid w:val="61493601"/>
    <w:rsid w:val="615C5041"/>
    <w:rsid w:val="615F0947"/>
    <w:rsid w:val="619F6AEB"/>
    <w:rsid w:val="61D85F42"/>
    <w:rsid w:val="62562807"/>
    <w:rsid w:val="626A0EBF"/>
    <w:rsid w:val="629773D1"/>
    <w:rsid w:val="629C627B"/>
    <w:rsid w:val="62A15E53"/>
    <w:rsid w:val="62A73A0B"/>
    <w:rsid w:val="62B00965"/>
    <w:rsid w:val="62CD03E1"/>
    <w:rsid w:val="62DC23EB"/>
    <w:rsid w:val="62E15DBA"/>
    <w:rsid w:val="63182FFE"/>
    <w:rsid w:val="63371037"/>
    <w:rsid w:val="634C4518"/>
    <w:rsid w:val="63983EC4"/>
    <w:rsid w:val="639854D4"/>
    <w:rsid w:val="63A46822"/>
    <w:rsid w:val="63BD39CD"/>
    <w:rsid w:val="63C04533"/>
    <w:rsid w:val="63C5603D"/>
    <w:rsid w:val="63D72C60"/>
    <w:rsid w:val="64A95740"/>
    <w:rsid w:val="64AF7DF0"/>
    <w:rsid w:val="64E72AC4"/>
    <w:rsid w:val="650A0EA3"/>
    <w:rsid w:val="650F7AAA"/>
    <w:rsid w:val="65245052"/>
    <w:rsid w:val="65564EE8"/>
    <w:rsid w:val="6576688A"/>
    <w:rsid w:val="65C43BE9"/>
    <w:rsid w:val="65D735F4"/>
    <w:rsid w:val="65DD063F"/>
    <w:rsid w:val="66066D0A"/>
    <w:rsid w:val="6622558B"/>
    <w:rsid w:val="66312713"/>
    <w:rsid w:val="66393CAB"/>
    <w:rsid w:val="664805B8"/>
    <w:rsid w:val="665A2A0A"/>
    <w:rsid w:val="668E544C"/>
    <w:rsid w:val="669A3AC9"/>
    <w:rsid w:val="67E017FE"/>
    <w:rsid w:val="67F31D3A"/>
    <w:rsid w:val="68045D1D"/>
    <w:rsid w:val="681B1F4D"/>
    <w:rsid w:val="68451BCA"/>
    <w:rsid w:val="684652BD"/>
    <w:rsid w:val="68901A15"/>
    <w:rsid w:val="68A96556"/>
    <w:rsid w:val="68C96DCD"/>
    <w:rsid w:val="68DE5612"/>
    <w:rsid w:val="690F418B"/>
    <w:rsid w:val="69415C00"/>
    <w:rsid w:val="695606A3"/>
    <w:rsid w:val="69767754"/>
    <w:rsid w:val="698F2FDF"/>
    <w:rsid w:val="69A57B3E"/>
    <w:rsid w:val="69A83454"/>
    <w:rsid w:val="69DC279E"/>
    <w:rsid w:val="69EE3E34"/>
    <w:rsid w:val="6A25071A"/>
    <w:rsid w:val="6A363544"/>
    <w:rsid w:val="6A673835"/>
    <w:rsid w:val="6A7A2736"/>
    <w:rsid w:val="6A7B4B9C"/>
    <w:rsid w:val="6A83637D"/>
    <w:rsid w:val="6A8D7999"/>
    <w:rsid w:val="6AC11D22"/>
    <w:rsid w:val="6B051E88"/>
    <w:rsid w:val="6B3D7D61"/>
    <w:rsid w:val="6B9E1D81"/>
    <w:rsid w:val="6BA651DA"/>
    <w:rsid w:val="6BF17AD4"/>
    <w:rsid w:val="6C2F36D3"/>
    <w:rsid w:val="6C7D1E1B"/>
    <w:rsid w:val="6C89456C"/>
    <w:rsid w:val="6C8E5FFC"/>
    <w:rsid w:val="6C970A7F"/>
    <w:rsid w:val="6CB003DA"/>
    <w:rsid w:val="6CCF7258"/>
    <w:rsid w:val="6CF60588"/>
    <w:rsid w:val="6DA611C9"/>
    <w:rsid w:val="6DDC6B6F"/>
    <w:rsid w:val="6E0A1043"/>
    <w:rsid w:val="6E0E2009"/>
    <w:rsid w:val="6E483F97"/>
    <w:rsid w:val="6E6B09BB"/>
    <w:rsid w:val="6E9B6042"/>
    <w:rsid w:val="6EA03D2B"/>
    <w:rsid w:val="6EA8395D"/>
    <w:rsid w:val="6EEE4117"/>
    <w:rsid w:val="6F05530A"/>
    <w:rsid w:val="6F447A5A"/>
    <w:rsid w:val="6F8161FC"/>
    <w:rsid w:val="6FA51A5F"/>
    <w:rsid w:val="6FA629D4"/>
    <w:rsid w:val="706145B1"/>
    <w:rsid w:val="707964EB"/>
    <w:rsid w:val="7087334C"/>
    <w:rsid w:val="70BB2EF0"/>
    <w:rsid w:val="70D10182"/>
    <w:rsid w:val="70D42489"/>
    <w:rsid w:val="70D46AC8"/>
    <w:rsid w:val="70EB0923"/>
    <w:rsid w:val="7111577A"/>
    <w:rsid w:val="713B41ED"/>
    <w:rsid w:val="71597A3B"/>
    <w:rsid w:val="7176163B"/>
    <w:rsid w:val="71EC6A6E"/>
    <w:rsid w:val="71F60B93"/>
    <w:rsid w:val="7239287E"/>
    <w:rsid w:val="7275543D"/>
    <w:rsid w:val="72A71F44"/>
    <w:rsid w:val="72D038BA"/>
    <w:rsid w:val="72E50C43"/>
    <w:rsid w:val="72F55F04"/>
    <w:rsid w:val="731703A9"/>
    <w:rsid w:val="73653682"/>
    <w:rsid w:val="73D425F7"/>
    <w:rsid w:val="747808C4"/>
    <w:rsid w:val="74822137"/>
    <w:rsid w:val="74BD51E1"/>
    <w:rsid w:val="74FA10A7"/>
    <w:rsid w:val="75001BE0"/>
    <w:rsid w:val="750A2023"/>
    <w:rsid w:val="7511431D"/>
    <w:rsid w:val="7526648A"/>
    <w:rsid w:val="757D508B"/>
    <w:rsid w:val="758F5B03"/>
    <w:rsid w:val="75CB078A"/>
    <w:rsid w:val="75D00C83"/>
    <w:rsid w:val="75F644AF"/>
    <w:rsid w:val="75F96786"/>
    <w:rsid w:val="763C1508"/>
    <w:rsid w:val="766A1EAC"/>
    <w:rsid w:val="7676736A"/>
    <w:rsid w:val="76933951"/>
    <w:rsid w:val="769F659A"/>
    <w:rsid w:val="76B620C0"/>
    <w:rsid w:val="76CB53B8"/>
    <w:rsid w:val="77046B81"/>
    <w:rsid w:val="77146904"/>
    <w:rsid w:val="771D661B"/>
    <w:rsid w:val="771F0F97"/>
    <w:rsid w:val="775E46DE"/>
    <w:rsid w:val="778D19E8"/>
    <w:rsid w:val="77C27E66"/>
    <w:rsid w:val="77D841B6"/>
    <w:rsid w:val="77D90BB3"/>
    <w:rsid w:val="77F25B29"/>
    <w:rsid w:val="781E6489"/>
    <w:rsid w:val="782235EB"/>
    <w:rsid w:val="78493A48"/>
    <w:rsid w:val="78511886"/>
    <w:rsid w:val="786D7E85"/>
    <w:rsid w:val="78782A0D"/>
    <w:rsid w:val="789774CE"/>
    <w:rsid w:val="789855AA"/>
    <w:rsid w:val="789F5119"/>
    <w:rsid w:val="78C640F0"/>
    <w:rsid w:val="78EE1454"/>
    <w:rsid w:val="79224A47"/>
    <w:rsid w:val="79A2171F"/>
    <w:rsid w:val="79A252FF"/>
    <w:rsid w:val="79A80381"/>
    <w:rsid w:val="79BB4356"/>
    <w:rsid w:val="79C0001B"/>
    <w:rsid w:val="79D33056"/>
    <w:rsid w:val="79DF50CE"/>
    <w:rsid w:val="7A184713"/>
    <w:rsid w:val="7A396D3C"/>
    <w:rsid w:val="7A626407"/>
    <w:rsid w:val="7A7A7D68"/>
    <w:rsid w:val="7AC202F9"/>
    <w:rsid w:val="7AD42B4F"/>
    <w:rsid w:val="7B3E7526"/>
    <w:rsid w:val="7B631844"/>
    <w:rsid w:val="7B664C28"/>
    <w:rsid w:val="7B8E6D49"/>
    <w:rsid w:val="7BA36132"/>
    <w:rsid w:val="7BE13AB3"/>
    <w:rsid w:val="7C0C6436"/>
    <w:rsid w:val="7C126B8D"/>
    <w:rsid w:val="7C1B5FFE"/>
    <w:rsid w:val="7C26369C"/>
    <w:rsid w:val="7C282D74"/>
    <w:rsid w:val="7C34644E"/>
    <w:rsid w:val="7C490025"/>
    <w:rsid w:val="7C706675"/>
    <w:rsid w:val="7C89510B"/>
    <w:rsid w:val="7C9E5A24"/>
    <w:rsid w:val="7CAD3C62"/>
    <w:rsid w:val="7CB0616A"/>
    <w:rsid w:val="7CE00504"/>
    <w:rsid w:val="7CEB69C7"/>
    <w:rsid w:val="7D0E2C70"/>
    <w:rsid w:val="7D1F0C75"/>
    <w:rsid w:val="7D21072D"/>
    <w:rsid w:val="7D23440D"/>
    <w:rsid w:val="7D33410B"/>
    <w:rsid w:val="7D37341E"/>
    <w:rsid w:val="7D62117D"/>
    <w:rsid w:val="7D67229E"/>
    <w:rsid w:val="7DCA1F7D"/>
    <w:rsid w:val="7DCB3F94"/>
    <w:rsid w:val="7E027CFB"/>
    <w:rsid w:val="7E3E1EF2"/>
    <w:rsid w:val="7E4827AD"/>
    <w:rsid w:val="7E686F3E"/>
    <w:rsid w:val="7E823AFC"/>
    <w:rsid w:val="7E951513"/>
    <w:rsid w:val="7EF74FC9"/>
    <w:rsid w:val="7F2E7B0B"/>
    <w:rsid w:val="7F3D5140"/>
    <w:rsid w:val="7F9062E5"/>
    <w:rsid w:val="7F933BD8"/>
    <w:rsid w:val="7F9C6122"/>
    <w:rsid w:val="7FAF7F8E"/>
    <w:rsid w:val="7FCF0FEF"/>
    <w:rsid w:val="7FDB2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BB29BA3-94E1-43B4-A831-CA18BC2EA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76" w:lineRule="auto"/>
      <w:jc w:val="both"/>
    </w:pPr>
    <w:rPr>
      <w:kern w:val="2"/>
      <w:sz w:val="21"/>
    </w:rPr>
  </w:style>
  <w:style w:type="paragraph" w:styleId="1">
    <w:name w:val="heading 1"/>
    <w:basedOn w:val="a"/>
    <w:next w:val="YJ--"/>
    <w:qFormat/>
    <w:pPr>
      <w:keepNext/>
      <w:keepLines/>
      <w:numPr>
        <w:numId w:val="1"/>
      </w:numPr>
      <w:pBdr>
        <w:top w:val="single" w:sz="12" w:space="3" w:color="auto"/>
      </w:pBdr>
      <w:ind w:left="630"/>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YJ--">
    <w:name w:val="YJ--正文"/>
    <w:basedOn w:val="a"/>
    <w:qFormat/>
    <w:pPr>
      <w:spacing w:beforeLines="150" w:afterLines="100"/>
      <w:ind w:firstLineChars="200" w:firstLine="1440"/>
    </w:pPr>
    <w:rPr>
      <w:rFonts w:eastAsia="Times New Roman" w:cs="宋体"/>
    </w:rPr>
  </w:style>
  <w:style w:type="paragraph" w:styleId="a3">
    <w:name w:val="caption"/>
    <w:basedOn w:val="a"/>
    <w:next w:val="a"/>
    <w:uiPriority w:val="99"/>
    <w:unhideWhenUsed/>
    <w:qFormat/>
    <w:pPr>
      <w:spacing w:line="240" w:lineRule="auto"/>
    </w:pPr>
    <w:rPr>
      <w:b/>
      <w:bCs/>
      <w:color w:val="4F81BD" w:themeColor="accent1"/>
      <w:sz w:val="18"/>
      <w:szCs w:val="18"/>
    </w:rPr>
  </w:style>
  <w:style w:type="paragraph" w:styleId="a4">
    <w:name w:val="Document Map"/>
    <w:basedOn w:val="a"/>
    <w:link w:val="Char"/>
    <w:uiPriority w:val="99"/>
    <w:semiHidden/>
    <w:unhideWhenUsed/>
    <w:qFormat/>
    <w:pPr>
      <w:spacing w:line="240" w:lineRule="auto"/>
    </w:pPr>
    <w:rPr>
      <w:rFonts w:ascii="Tahoma" w:hAnsi="Tahoma" w:cs="Tahoma"/>
      <w:sz w:val="16"/>
      <w:szCs w:val="16"/>
    </w:rPr>
  </w:style>
  <w:style w:type="paragraph" w:styleId="a5">
    <w:name w:val="annotation text"/>
    <w:basedOn w:val="a"/>
    <w:link w:val="Char0"/>
    <w:uiPriority w:val="99"/>
    <w:semiHidden/>
    <w:unhideWhenUsed/>
    <w:qFormat/>
    <w:pPr>
      <w:jc w:val="left"/>
    </w:pPr>
  </w:style>
  <w:style w:type="paragraph" w:styleId="a6">
    <w:name w:val="Body Text"/>
    <w:basedOn w:val="a"/>
    <w:unhideWhenUsed/>
    <w:qFormat/>
    <w:pPr>
      <w:widowControl w:val="0"/>
    </w:pPr>
    <w:rPr>
      <w:i/>
    </w:rPr>
  </w:style>
  <w:style w:type="paragraph" w:styleId="20">
    <w:name w:val="List 2"/>
    <w:basedOn w:val="a7"/>
    <w:qFormat/>
    <w:pPr>
      <w:ind w:left="851"/>
    </w:pPr>
  </w:style>
  <w:style w:type="paragraph" w:styleId="a7">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8">
    <w:name w:val="Balloon Text"/>
    <w:basedOn w:val="a"/>
    <w:link w:val="Char1"/>
    <w:uiPriority w:val="99"/>
    <w:semiHidden/>
    <w:unhideWhenUsed/>
    <w:qFormat/>
    <w:pPr>
      <w:spacing w:line="240" w:lineRule="auto"/>
    </w:pPr>
    <w:rPr>
      <w:rFonts w:ascii="Tahoma" w:hAnsi="Tahoma" w:cs="Tahoma"/>
      <w:sz w:val="16"/>
      <w:szCs w:val="16"/>
    </w:rPr>
  </w:style>
  <w:style w:type="paragraph" w:styleId="a9">
    <w:name w:val="footer"/>
    <w:basedOn w:val="a"/>
    <w:link w:val="Char2"/>
    <w:uiPriority w:val="99"/>
    <w:unhideWhenUsed/>
    <w:qFormat/>
    <w:pPr>
      <w:tabs>
        <w:tab w:val="center" w:pos="4153"/>
        <w:tab w:val="right" w:pos="8306"/>
      </w:tabs>
      <w:snapToGrid w:val="0"/>
      <w:jc w:val="left"/>
    </w:pPr>
    <w:rPr>
      <w:sz w:val="18"/>
      <w:szCs w:val="18"/>
    </w:rPr>
  </w:style>
  <w:style w:type="paragraph" w:styleId="aa">
    <w:name w:val="header"/>
    <w:basedOn w:val="a"/>
    <w:link w:val="Char3"/>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b">
    <w:name w:val="table of figures"/>
    <w:basedOn w:val="a"/>
    <w:next w:val="a"/>
    <w:uiPriority w:val="99"/>
    <w:semiHidden/>
    <w:unhideWhenUsed/>
    <w:qFormat/>
    <w:pPr>
      <w:ind w:leftChars="200" w:left="200" w:hangingChars="200" w:hanging="200"/>
    </w:pPr>
  </w:style>
  <w:style w:type="paragraph" w:styleId="21">
    <w:name w:val="toc 2"/>
    <w:basedOn w:val="a"/>
    <w:next w:val="a"/>
    <w:uiPriority w:val="39"/>
    <w:unhideWhenUsed/>
    <w:qFormat/>
    <w:pPr>
      <w:spacing w:before="50" w:after="50"/>
      <w:ind w:leftChars="200" w:left="862"/>
    </w:pPr>
    <w:rPr>
      <w:b/>
      <w:i/>
      <w:sz w:val="20"/>
    </w:rPr>
  </w:style>
  <w:style w:type="paragraph" w:styleId="ac">
    <w:name w:val="Normal (Web)"/>
    <w:basedOn w:val="a"/>
    <w:semiHidden/>
    <w:unhideWhenUsed/>
    <w:qFormat/>
    <w:pPr>
      <w:spacing w:beforeAutospacing="1" w:afterAutospacing="1"/>
      <w:jc w:val="left"/>
    </w:pPr>
    <w:rPr>
      <w:kern w:val="0"/>
      <w:sz w:val="24"/>
    </w:rPr>
  </w:style>
  <w:style w:type="paragraph" w:styleId="ad">
    <w:name w:val="annotation subject"/>
    <w:basedOn w:val="a5"/>
    <w:next w:val="a5"/>
    <w:link w:val="Char4"/>
    <w:uiPriority w:val="99"/>
    <w:semiHidden/>
    <w:unhideWhenUsed/>
    <w:qFormat/>
    <w:pPr>
      <w:spacing w:line="240" w:lineRule="auto"/>
      <w:jc w:val="both"/>
    </w:pPr>
    <w:rPr>
      <w:b/>
      <w:bCs/>
      <w:sz w:val="20"/>
    </w:rPr>
  </w:style>
  <w:style w:type="table" w:styleId="ae">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uiPriority w:val="22"/>
    <w:qFormat/>
    <w:rPr>
      <w:b/>
      <w:bCs/>
    </w:rPr>
  </w:style>
  <w:style w:type="character" w:styleId="af0">
    <w:name w:val="page number"/>
    <w:basedOn w:val="a0"/>
    <w:semiHidden/>
    <w:qFormat/>
  </w:style>
  <w:style w:type="character" w:styleId="af1">
    <w:name w:val="Hyperlink"/>
    <w:basedOn w:val="a0"/>
    <w:uiPriority w:val="99"/>
    <w:unhideWhenUsed/>
    <w:qFormat/>
    <w:rPr>
      <w:color w:val="0000FF" w:themeColor="hyperlink"/>
      <w:u w:val="single"/>
    </w:rPr>
  </w:style>
  <w:style w:type="character" w:styleId="af2">
    <w:name w:val="annotation reference"/>
    <w:qFormat/>
    <w:rPr>
      <w:sz w:val="16"/>
      <w:szCs w:val="16"/>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sub-proposal">
    <w:name w:val="sub-proposal"/>
    <w:basedOn w:val="YJ-Proposal"/>
    <w:next w:val="a"/>
    <w:qFormat/>
    <w:pPr>
      <w:numPr>
        <w:numId w:val="4"/>
      </w:numPr>
      <w:ind w:leftChars="200" w:left="862" w:hangingChars="200" w:hanging="442"/>
    </w:pPr>
  </w:style>
  <w:style w:type="paragraph" w:customStyle="1" w:styleId="sub-observation">
    <w:name w:val="sub-observation"/>
    <w:basedOn w:val="sub-proposal"/>
    <w:next w:val="a"/>
    <w:qFormat/>
  </w:style>
  <w:style w:type="paragraph" w:customStyle="1" w:styleId="References">
    <w:name w:val="References"/>
    <w:basedOn w:val="a"/>
    <w:qFormat/>
    <w:pPr>
      <w:numPr>
        <w:numId w:val="5"/>
      </w:numPr>
      <w:spacing w:after="60"/>
    </w:pPr>
    <w:rPr>
      <w:szCs w:val="16"/>
    </w:rPr>
  </w:style>
  <w:style w:type="paragraph" w:styleId="af3">
    <w:name w:val="List Paragraph"/>
    <w:basedOn w:val="a"/>
    <w:link w:val="Char5"/>
    <w:uiPriority w:val="34"/>
    <w:qFormat/>
    <w:pPr>
      <w:spacing w:beforeLines="0" w:line="240" w:lineRule="auto"/>
      <w:ind w:left="720"/>
      <w:contextualSpacing/>
    </w:pPr>
    <w:rPr>
      <w:rFonts w:eastAsia="Times New Roman"/>
      <w:sz w:val="24"/>
      <w:szCs w:val="24"/>
    </w:rPr>
  </w:style>
  <w:style w:type="paragraph" w:customStyle="1" w:styleId="11">
    <w:name w:val="样式1"/>
    <w:basedOn w:val="a"/>
    <w:qFormat/>
  </w:style>
  <w:style w:type="paragraph" w:customStyle="1" w:styleId="3rdlevelproposal">
    <w:name w:val="3rd level proposal"/>
    <w:basedOn w:val="sub-proposal"/>
    <w:next w:val="a"/>
    <w:qFormat/>
    <w:pPr>
      <w:numPr>
        <w:numId w:val="6"/>
      </w:numPr>
      <w:ind w:leftChars="400" w:left="1282" w:hanging="442"/>
      <w:jc w:val="left"/>
    </w:pPr>
  </w:style>
  <w:style w:type="paragraph" w:customStyle="1" w:styleId="22">
    <w:name w:val="样式2"/>
    <w:basedOn w:val="a"/>
    <w:qFormat/>
  </w:style>
  <w:style w:type="paragraph" w:customStyle="1" w:styleId="3rdlevelobservation">
    <w:name w:val="3rd level observation"/>
    <w:basedOn w:val="sub-observation"/>
    <w:qFormat/>
    <w:pPr>
      <w:numPr>
        <w:numId w:val="7"/>
      </w:numPr>
      <w:ind w:leftChars="400" w:left="1282" w:hanging="442"/>
    </w:pPr>
  </w:style>
  <w:style w:type="paragraph" w:customStyle="1" w:styleId="maintext">
    <w:name w:val="main text"/>
    <w:basedOn w:val="a"/>
    <w:qFormat/>
    <w:pPr>
      <w:spacing w:before="60" w:after="60" w:line="288" w:lineRule="auto"/>
      <w:ind w:firstLineChars="200" w:firstLine="200"/>
    </w:pPr>
    <w:rPr>
      <w:rFonts w:eastAsia="Malgun Gothic"/>
      <w:lang w:eastAsia="ko-KR"/>
    </w:rPr>
  </w:style>
  <w:style w:type="paragraph" w:customStyle="1" w:styleId="TH">
    <w:name w:val="TH"/>
    <w:basedOn w:val="a"/>
    <w:qFormat/>
    <w:pPr>
      <w:keepNext/>
      <w:keepLines/>
      <w:spacing w:beforeLines="0" w:afterLines="0"/>
      <w:jc w:val="center"/>
    </w:pPr>
    <w:rPr>
      <w:rFonts w:ascii="Arial" w:eastAsia="Times New Roman" w:hAnsi="Arial" w:cs="Arial"/>
      <w:b/>
      <w:bCs/>
      <w:kern w:val="0"/>
      <w:sz w:val="24"/>
      <w:szCs w:val="24"/>
      <w:lang w:val="zh-CN" w:eastAsia="en-US"/>
    </w:rPr>
  </w:style>
  <w:style w:type="paragraph" w:customStyle="1" w:styleId="TAH">
    <w:name w:val="TAH"/>
    <w:basedOn w:val="TAC"/>
    <w:qFormat/>
    <w:rPr>
      <w:b/>
    </w:rPr>
  </w:style>
  <w:style w:type="paragraph" w:customStyle="1" w:styleId="TAC">
    <w:name w:val="TAC"/>
    <w:basedOn w:val="TAL"/>
    <w:qFormat/>
    <w:pPr>
      <w:spacing w:beforeLines="0" w:afterLines="0"/>
      <w:jc w:val="center"/>
    </w:pPr>
    <w:rPr>
      <w:rFonts w:eastAsia="Times New Roman" w:cs="Arial"/>
      <w:kern w:val="0"/>
      <w:szCs w:val="18"/>
      <w:lang w:val="zh-CN" w:eastAsia="en-US"/>
    </w:rPr>
  </w:style>
  <w:style w:type="paragraph" w:customStyle="1" w:styleId="TAL">
    <w:name w:val="TAL"/>
    <w:basedOn w:val="a"/>
    <w:qFormat/>
    <w:pPr>
      <w:keepNext/>
      <w:keepLines/>
    </w:pPr>
    <w:rPr>
      <w:rFonts w:ascii="Arial" w:hAnsi="Arial"/>
      <w:sz w:val="18"/>
    </w:rPr>
  </w:style>
  <w:style w:type="character" w:customStyle="1" w:styleId="Char3">
    <w:name w:val="页眉 Char"/>
    <w:basedOn w:val="a0"/>
    <w:link w:val="aa"/>
    <w:semiHidden/>
    <w:qFormat/>
    <w:rPr>
      <w:kern w:val="2"/>
      <w:sz w:val="21"/>
    </w:rPr>
  </w:style>
  <w:style w:type="character" w:customStyle="1" w:styleId="Char2">
    <w:name w:val="页脚 Char"/>
    <w:basedOn w:val="a0"/>
    <w:link w:val="a9"/>
    <w:uiPriority w:val="99"/>
    <w:qFormat/>
    <w:rPr>
      <w:kern w:val="2"/>
      <w:sz w:val="18"/>
      <w:szCs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GB" w:eastAsia="en-GB"/>
    </w:rPr>
  </w:style>
  <w:style w:type="character" w:customStyle="1" w:styleId="colour">
    <w:name w:val="colour"/>
    <w:basedOn w:val="a0"/>
    <w:qFormat/>
  </w:style>
  <w:style w:type="paragraph" w:customStyle="1" w:styleId="B1">
    <w:name w:val="B1"/>
    <w:basedOn w:val="a7"/>
    <w:qFormat/>
  </w:style>
  <w:style w:type="paragraph" w:customStyle="1" w:styleId="B2">
    <w:name w:val="B2"/>
    <w:basedOn w:val="20"/>
    <w:qFormat/>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3GPPNormalText">
    <w:name w:val="3GPP Normal Text"/>
    <w:basedOn w:val="a6"/>
    <w:qFormat/>
    <w:rPr>
      <w:rFonts w:eastAsia="MS Mincho"/>
      <w:sz w:val="22"/>
    </w:rPr>
  </w:style>
  <w:style w:type="character" w:customStyle="1" w:styleId="Char1">
    <w:name w:val="批注框文本 Char"/>
    <w:basedOn w:val="a0"/>
    <w:link w:val="a8"/>
    <w:uiPriority w:val="99"/>
    <w:semiHidden/>
    <w:qFormat/>
    <w:rPr>
      <w:rFonts w:ascii="Tahoma" w:eastAsia="宋体" w:hAnsi="Tahoma" w:cs="Tahoma"/>
      <w:kern w:val="2"/>
      <w:sz w:val="16"/>
      <w:szCs w:val="16"/>
    </w:rPr>
  </w:style>
  <w:style w:type="character" w:customStyle="1" w:styleId="Char">
    <w:name w:val="文档结构图 Char"/>
    <w:basedOn w:val="a0"/>
    <w:link w:val="a4"/>
    <w:uiPriority w:val="99"/>
    <w:semiHidden/>
    <w:qFormat/>
    <w:rPr>
      <w:rFonts w:ascii="Tahoma" w:eastAsia="宋体" w:hAnsi="Tahoma" w:cs="Tahoma"/>
      <w:kern w:val="2"/>
      <w:sz w:val="16"/>
      <w:szCs w:val="16"/>
    </w:rPr>
  </w:style>
  <w:style w:type="character" w:customStyle="1" w:styleId="Char0">
    <w:name w:val="批注文字 Char"/>
    <w:basedOn w:val="a0"/>
    <w:link w:val="a5"/>
    <w:uiPriority w:val="99"/>
    <w:semiHidden/>
    <w:qFormat/>
    <w:rPr>
      <w:rFonts w:eastAsia="宋体"/>
      <w:kern w:val="2"/>
      <w:sz w:val="21"/>
    </w:rPr>
  </w:style>
  <w:style w:type="character" w:customStyle="1" w:styleId="Char4">
    <w:name w:val="批注主题 Char"/>
    <w:basedOn w:val="Char0"/>
    <w:link w:val="ad"/>
    <w:qFormat/>
    <w:rPr>
      <w:rFonts w:eastAsia="宋体"/>
      <w:kern w:val="2"/>
      <w:sz w:val="21"/>
    </w:rPr>
  </w:style>
  <w:style w:type="character" w:customStyle="1" w:styleId="Char5">
    <w:name w:val="列出段落 Char"/>
    <w:basedOn w:val="a0"/>
    <w:link w:val="af3"/>
    <w:uiPriority w:val="11"/>
    <w:qFormat/>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baidu.com/link?url=36DumpEITjyw2yd2aIUB5PBW80TKnpRGHVbRcyWnTAF3ydMyGzF5Hy3nROWluIp6fjJofVuwj20Faq5CMlB9KE7njdLvQr7F7O1GbWTYhmu"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DCC8A-7575-42F9-AC62-7C109194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3069</Words>
  <Characters>17497</Characters>
  <Application>Microsoft Office Word</Application>
  <DocSecurity>0</DocSecurity>
  <Lines>145</Lines>
  <Paragraphs>41</Paragraphs>
  <ScaleCrop>false</ScaleCrop>
  <Company>ZTE</Company>
  <LinksUpToDate>false</LinksUpToDate>
  <CharactersWithSpaces>20525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xingweimin</cp:lastModifiedBy>
  <cp:revision>21</cp:revision>
  <dcterms:created xsi:type="dcterms:W3CDTF">2021-01-18T02:40:00Z</dcterms:created>
  <dcterms:modified xsi:type="dcterms:W3CDTF">2021-05-12T03:39:00Z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